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0299F3B6" w:rsidR="00952B92" w:rsidRPr="002E43AB" w:rsidRDefault="007966F7" w:rsidP="007A4E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</w:t>
            </w:r>
            <w:r w:rsidR="00611496" w:rsidRPr="002E43AB">
              <w:rPr>
                <w:rFonts w:ascii="Arial" w:eastAsia="Arial" w:hAnsi="Arial" w:cs="Arial"/>
              </w:rPr>
              <w:t>Commercial Manager</w:t>
            </w:r>
            <w:r w:rsidR="00BF155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 M</w:t>
            </w:r>
            <w:r w:rsidR="005510B1">
              <w:rPr>
                <w:rFonts w:ascii="Arial" w:eastAsia="Arial" w:hAnsi="Arial" w:cs="Arial"/>
              </w:rPr>
              <w:t xml:space="preserve">orrisons </w:t>
            </w:r>
            <w:r>
              <w:rPr>
                <w:rFonts w:ascii="Arial" w:eastAsia="Arial" w:hAnsi="Arial" w:cs="Arial"/>
              </w:rPr>
              <w:t>(</w:t>
            </w:r>
            <w:r w:rsidR="00D750C7">
              <w:rPr>
                <w:rFonts w:ascii="Arial" w:eastAsia="Arial" w:hAnsi="Arial" w:cs="Arial"/>
              </w:rPr>
              <w:t xml:space="preserve">12 month </w:t>
            </w:r>
            <w:r>
              <w:rPr>
                <w:rFonts w:ascii="Arial" w:eastAsia="Arial" w:hAnsi="Arial" w:cs="Arial"/>
              </w:rPr>
              <w:t>maternity cover</w:t>
            </w:r>
            <w:r w:rsidR="0004541A">
              <w:rPr>
                <w:rFonts w:ascii="Arial" w:eastAsia="Arial" w:hAnsi="Arial" w:cs="Arial"/>
              </w:rPr>
              <w:t>)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2E43AB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43AB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9196B0E" w:rsidR="00952B92" w:rsidRPr="002E43AB" w:rsidRDefault="000C54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 202</w:t>
            </w:r>
            <w:r w:rsidR="005510B1">
              <w:rPr>
                <w:rFonts w:ascii="Arial" w:eastAsia="Arial" w:hAnsi="Arial" w:cs="Arial"/>
              </w:rPr>
              <w:t>6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0B455855" w:rsidR="00952B92" w:rsidRPr="002E43AB" w:rsidRDefault="00AB228C">
            <w:pPr>
              <w:rPr>
                <w:rFonts w:ascii="Arial" w:eastAsia="Arial" w:hAnsi="Arial" w:cs="Arial"/>
              </w:rPr>
            </w:pPr>
            <w:r w:rsidRPr="002E43AB">
              <w:rPr>
                <w:rFonts w:ascii="Arial" w:eastAsia="Arial" w:hAnsi="Arial" w:cs="Arial"/>
              </w:rPr>
              <w:t xml:space="preserve">Savoury Pastry 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3824121" w:rsidR="00952B92" w:rsidRPr="002E43AB" w:rsidRDefault="00611496">
            <w:pPr>
              <w:rPr>
                <w:rFonts w:ascii="Arial" w:eastAsia="Arial" w:hAnsi="Arial" w:cs="Arial"/>
              </w:rPr>
            </w:pPr>
            <w:r w:rsidRPr="002E43AB">
              <w:rPr>
                <w:rFonts w:ascii="Arial" w:eastAsia="Arial" w:hAnsi="Arial" w:cs="Arial"/>
              </w:rPr>
              <w:t>Commercial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EE413E3" w:rsidR="00952B92" w:rsidRPr="002E43AB" w:rsidRDefault="007958E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Flexible - </w:t>
            </w:r>
            <w:r w:rsidR="005510B1">
              <w:rPr>
                <w:rFonts w:ascii="Arial" w:eastAsia="Arial" w:hAnsi="Arial" w:cs="Arial"/>
              </w:rPr>
              <w:t>Leicester</w:t>
            </w:r>
            <w:r w:rsidR="00276BB5" w:rsidRPr="002E43AB">
              <w:rPr>
                <w:rFonts w:ascii="Arial" w:eastAsia="Arial" w:hAnsi="Arial" w:cs="Arial"/>
              </w:rPr>
              <w:t xml:space="preserve"> / home based </w:t>
            </w:r>
            <w:r w:rsidR="00616472" w:rsidRPr="002E43AB">
              <w:rPr>
                <w:rFonts w:ascii="Arial" w:eastAsia="Arial" w:hAnsi="Arial" w:cs="Arial"/>
              </w:rPr>
              <w:t>–</w:t>
            </w:r>
            <w:r w:rsidR="00276BB5" w:rsidRPr="002E43AB">
              <w:rPr>
                <w:rFonts w:ascii="Arial" w:eastAsia="Arial" w:hAnsi="Arial" w:cs="Arial"/>
              </w:rPr>
              <w:t xml:space="preserve"> </w:t>
            </w:r>
            <w:r w:rsidR="00616472" w:rsidRPr="002E43AB">
              <w:rPr>
                <w:rFonts w:ascii="Arial" w:eastAsia="Arial" w:hAnsi="Arial" w:cs="Arial"/>
              </w:rPr>
              <w:t xml:space="preserve">will </w:t>
            </w:r>
            <w:r>
              <w:rPr>
                <w:rFonts w:ascii="Arial" w:eastAsia="Arial" w:hAnsi="Arial" w:cs="Arial"/>
              </w:rPr>
              <w:t xml:space="preserve">also </w:t>
            </w:r>
            <w:r w:rsidR="00616472" w:rsidRPr="002E43AB">
              <w:rPr>
                <w:rFonts w:ascii="Arial" w:eastAsia="Arial" w:hAnsi="Arial" w:cs="Arial"/>
              </w:rPr>
              <w:t xml:space="preserve">include </w:t>
            </w:r>
            <w:r>
              <w:rPr>
                <w:rFonts w:ascii="Arial" w:eastAsia="Arial" w:hAnsi="Arial" w:cs="Arial"/>
              </w:rPr>
              <w:t xml:space="preserve">some </w:t>
            </w:r>
            <w:r w:rsidR="00616472" w:rsidRPr="002E43AB">
              <w:rPr>
                <w:rFonts w:ascii="Arial" w:eastAsia="Arial" w:hAnsi="Arial" w:cs="Arial"/>
              </w:rPr>
              <w:t xml:space="preserve">interaction with </w:t>
            </w:r>
            <w:r w:rsidR="005510B1">
              <w:rPr>
                <w:rFonts w:ascii="Arial" w:eastAsia="Arial" w:hAnsi="Arial" w:cs="Arial"/>
              </w:rPr>
              <w:t>The Cornwall Bakery.</w:t>
            </w:r>
            <w:r w:rsidR="00616472" w:rsidRPr="002E43AB">
              <w:rPr>
                <w:rFonts w:ascii="Arial" w:eastAsia="Arial" w:hAnsi="Arial" w:cs="Arial"/>
              </w:rPr>
              <w:t xml:space="preserve"> 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611496">
        <w:trPr>
          <w:trHeight w:val="1365"/>
        </w:trPr>
        <w:tc>
          <w:tcPr>
            <w:tcW w:w="10207" w:type="dxa"/>
            <w:gridSpan w:val="4"/>
          </w:tcPr>
          <w:p w14:paraId="099BD59F" w14:textId="355B3BCD" w:rsidR="00B668AC" w:rsidRPr="008B3B59" w:rsidRDefault="00AB228C" w:rsidP="00AB228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Working in </w:t>
            </w:r>
            <w:r w:rsidR="0053650F">
              <w:rPr>
                <w:rFonts w:ascii="Arial" w:eastAsia="Arial" w:hAnsi="Arial" w:cs="Arial"/>
                <w:sz w:val="22"/>
                <w:szCs w:val="22"/>
              </w:rPr>
              <w:t xml:space="preserve">the fast-paced world of </w:t>
            </w:r>
            <w:r w:rsidR="007C1AFC">
              <w:rPr>
                <w:rFonts w:ascii="Arial" w:eastAsia="Arial" w:hAnsi="Arial" w:cs="Arial"/>
                <w:sz w:val="22"/>
                <w:szCs w:val="22"/>
              </w:rPr>
              <w:t xml:space="preserve">own label </w:t>
            </w:r>
            <w:r w:rsidR="0053650F">
              <w:rPr>
                <w:rFonts w:ascii="Arial" w:eastAsia="Arial" w:hAnsi="Arial" w:cs="Arial"/>
                <w:sz w:val="22"/>
                <w:szCs w:val="22"/>
              </w:rPr>
              <w:t>grocery retail</w:t>
            </w:r>
            <w:r w:rsidR="00D863C9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you’ll </w:t>
            </w:r>
            <w:r w:rsidR="007D749F">
              <w:rPr>
                <w:rFonts w:ascii="Arial" w:eastAsia="Arial" w:hAnsi="Arial" w:cs="Arial"/>
                <w:sz w:val="22"/>
                <w:szCs w:val="22"/>
              </w:rPr>
              <w:t xml:space="preserve">take a </w:t>
            </w:r>
            <w:r w:rsidR="005158DB">
              <w:rPr>
                <w:rFonts w:ascii="Arial" w:eastAsia="Arial" w:hAnsi="Arial" w:cs="Arial"/>
                <w:sz w:val="22"/>
                <w:szCs w:val="22"/>
              </w:rPr>
              <w:t xml:space="preserve">leading </w:t>
            </w:r>
            <w:r w:rsidR="007D749F">
              <w:rPr>
                <w:rFonts w:ascii="Arial" w:eastAsia="Arial" w:hAnsi="Arial" w:cs="Arial"/>
                <w:sz w:val="22"/>
                <w:szCs w:val="22"/>
              </w:rPr>
              <w:t>role within</w:t>
            </w:r>
            <w:r w:rsidR="005158DB">
              <w:rPr>
                <w:rFonts w:ascii="Arial" w:eastAsia="Arial" w:hAnsi="Arial" w:cs="Arial"/>
                <w:sz w:val="22"/>
                <w:szCs w:val="22"/>
              </w:rPr>
              <w:t xml:space="preserve"> the Commercial function</w:t>
            </w:r>
            <w:r w:rsidR="00554F00">
              <w:rPr>
                <w:rFonts w:ascii="Arial" w:eastAsia="Arial" w:hAnsi="Arial" w:cs="Arial"/>
                <w:sz w:val="22"/>
                <w:szCs w:val="22"/>
              </w:rPr>
              <w:t xml:space="preserve"> &amp; cross functional teams to </w:t>
            </w:r>
            <w:r w:rsidR="003B03FB">
              <w:rPr>
                <w:rFonts w:ascii="Arial" w:eastAsia="Arial" w:hAnsi="Arial" w:cs="Arial"/>
                <w:sz w:val="22"/>
                <w:szCs w:val="22"/>
              </w:rPr>
              <w:t xml:space="preserve">continue to </w:t>
            </w:r>
            <w:r w:rsidR="007D749F">
              <w:rPr>
                <w:rFonts w:ascii="Arial" w:eastAsia="Arial" w:hAnsi="Arial" w:cs="Arial"/>
                <w:sz w:val="22"/>
                <w:szCs w:val="22"/>
              </w:rPr>
              <w:t xml:space="preserve">build </w:t>
            </w:r>
            <w:r w:rsidR="00F91276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="007D749F">
              <w:rPr>
                <w:rFonts w:ascii="Arial" w:eastAsia="Arial" w:hAnsi="Arial" w:cs="Arial"/>
                <w:sz w:val="22"/>
                <w:szCs w:val="22"/>
              </w:rPr>
              <w:t>close &amp; trusted relationship</w:t>
            </w:r>
            <w:r w:rsidR="0084465B">
              <w:rPr>
                <w:rFonts w:ascii="Arial" w:eastAsia="Arial" w:hAnsi="Arial" w:cs="Arial"/>
                <w:sz w:val="22"/>
                <w:szCs w:val="22"/>
              </w:rPr>
              <w:t xml:space="preserve"> with </w:t>
            </w:r>
            <w:r w:rsidR="00F91276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5510B1">
              <w:rPr>
                <w:rFonts w:ascii="Arial" w:eastAsia="Arial" w:hAnsi="Arial" w:cs="Arial"/>
                <w:sz w:val="22"/>
                <w:szCs w:val="22"/>
              </w:rPr>
              <w:t>orrisons</w:t>
            </w:r>
            <w:r w:rsidR="00F91276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84465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11C09">
              <w:rPr>
                <w:rFonts w:ascii="Arial" w:eastAsia="Arial" w:hAnsi="Arial" w:cs="Arial"/>
                <w:sz w:val="22"/>
                <w:szCs w:val="22"/>
              </w:rPr>
              <w:t>in order to</w:t>
            </w:r>
            <w:r w:rsidR="0084465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54F00">
              <w:rPr>
                <w:rFonts w:ascii="Arial" w:eastAsia="Arial" w:hAnsi="Arial" w:cs="Arial"/>
                <w:sz w:val="22"/>
                <w:szCs w:val="22"/>
              </w:rPr>
              <w:t xml:space="preserve">deliver against sales &amp; profit targets. </w:t>
            </w:r>
            <w:r w:rsidR="005311A0">
              <w:rPr>
                <w:rFonts w:ascii="Arial" w:eastAsia="Arial" w:hAnsi="Arial" w:cs="Arial"/>
                <w:sz w:val="22"/>
                <w:szCs w:val="22"/>
              </w:rPr>
              <w:t xml:space="preserve">Fundamental to </w:t>
            </w:r>
            <w:r w:rsidR="00BF6D42">
              <w:rPr>
                <w:rFonts w:ascii="Arial" w:eastAsia="Arial" w:hAnsi="Arial" w:cs="Arial"/>
                <w:sz w:val="22"/>
                <w:szCs w:val="22"/>
              </w:rPr>
              <w:t>success will be the effective management of NPD/EPD launches</w:t>
            </w:r>
            <w:r w:rsidR="005510B1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BF6D42">
              <w:rPr>
                <w:rFonts w:ascii="Arial" w:eastAsia="Arial" w:hAnsi="Arial" w:cs="Arial"/>
                <w:sz w:val="22"/>
                <w:szCs w:val="22"/>
              </w:rPr>
              <w:t xml:space="preserve"> end to end activity, promotional &amp; pricing</w:t>
            </w:r>
            <w:r w:rsidR="00CE6E09">
              <w:rPr>
                <w:rFonts w:ascii="Arial" w:eastAsia="Arial" w:hAnsi="Arial" w:cs="Arial"/>
                <w:sz w:val="22"/>
                <w:szCs w:val="22"/>
              </w:rPr>
              <w:t xml:space="preserve"> strategies</w:t>
            </w:r>
            <w:r w:rsidR="00F275F5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2A312F">
              <w:rPr>
                <w:rFonts w:ascii="Arial" w:eastAsia="Arial" w:hAnsi="Arial" w:cs="Arial"/>
                <w:sz w:val="22"/>
                <w:szCs w:val="22"/>
              </w:rPr>
              <w:t xml:space="preserve">day to day contact with </w:t>
            </w:r>
            <w:r w:rsidR="005510B1">
              <w:rPr>
                <w:rFonts w:ascii="Arial" w:eastAsia="Arial" w:hAnsi="Arial" w:cs="Arial"/>
                <w:sz w:val="22"/>
                <w:szCs w:val="22"/>
              </w:rPr>
              <w:t>Morrisons</w:t>
            </w:r>
            <w:r w:rsidR="002A312F">
              <w:rPr>
                <w:rFonts w:ascii="Arial" w:eastAsia="Arial" w:hAnsi="Arial" w:cs="Arial"/>
                <w:sz w:val="22"/>
                <w:szCs w:val="22"/>
              </w:rPr>
              <w:t>, including administrative tasks such as</w:t>
            </w:r>
            <w:r w:rsidR="00E8399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975B3">
              <w:rPr>
                <w:rFonts w:ascii="Arial" w:eastAsia="Arial" w:hAnsi="Arial" w:cs="Arial"/>
                <w:sz w:val="22"/>
                <w:szCs w:val="22"/>
              </w:rPr>
              <w:t xml:space="preserve">maintaining </w:t>
            </w:r>
            <w:r w:rsidR="00E83996">
              <w:rPr>
                <w:rFonts w:ascii="Arial" w:eastAsia="Arial" w:hAnsi="Arial" w:cs="Arial"/>
                <w:sz w:val="22"/>
                <w:szCs w:val="22"/>
              </w:rPr>
              <w:t>forecasts</w:t>
            </w:r>
            <w:r w:rsidR="00427AFB">
              <w:rPr>
                <w:rFonts w:ascii="Arial" w:eastAsia="Arial" w:hAnsi="Arial" w:cs="Arial"/>
                <w:sz w:val="22"/>
                <w:szCs w:val="22"/>
              </w:rPr>
              <w:t xml:space="preserve"> and management </w:t>
            </w:r>
            <w:r w:rsidR="00577DC5">
              <w:rPr>
                <w:rFonts w:ascii="Arial" w:eastAsia="Arial" w:hAnsi="Arial" w:cs="Arial"/>
                <w:sz w:val="22"/>
                <w:szCs w:val="22"/>
              </w:rPr>
              <w:t xml:space="preserve">of cost </w:t>
            </w:r>
            <w:r w:rsidR="003B03FB">
              <w:rPr>
                <w:rFonts w:ascii="Arial" w:eastAsia="Arial" w:hAnsi="Arial" w:cs="Arial"/>
                <w:sz w:val="22"/>
                <w:szCs w:val="22"/>
              </w:rPr>
              <w:t xml:space="preserve">and flow through models.  </w:t>
            </w:r>
            <w:r w:rsidR="00DF64BD">
              <w:rPr>
                <w:rFonts w:ascii="Arial" w:eastAsia="Arial" w:hAnsi="Arial" w:cs="Arial"/>
                <w:sz w:val="22"/>
                <w:szCs w:val="22"/>
              </w:rPr>
              <w:t xml:space="preserve">Working closely </w:t>
            </w:r>
            <w:r w:rsidR="00820B95">
              <w:rPr>
                <w:rFonts w:ascii="Arial" w:eastAsia="Arial" w:hAnsi="Arial" w:cs="Arial"/>
                <w:sz w:val="22"/>
                <w:szCs w:val="22"/>
              </w:rPr>
              <w:t>with the HOC</w:t>
            </w:r>
            <w:r w:rsidR="000744CA">
              <w:rPr>
                <w:rFonts w:ascii="Arial" w:eastAsia="Arial" w:hAnsi="Arial" w:cs="Arial"/>
                <w:sz w:val="22"/>
                <w:szCs w:val="22"/>
              </w:rPr>
              <w:t xml:space="preserve">, you will help deliver </w:t>
            </w:r>
            <w:r w:rsidR="001B6D99">
              <w:rPr>
                <w:rFonts w:ascii="Arial" w:eastAsia="Arial" w:hAnsi="Arial" w:cs="Arial"/>
                <w:sz w:val="22"/>
                <w:szCs w:val="22"/>
              </w:rPr>
              <w:t>the JBP</w:t>
            </w:r>
            <w:r w:rsidR="00220182">
              <w:rPr>
                <w:rFonts w:ascii="Arial" w:eastAsia="Arial" w:hAnsi="Arial" w:cs="Arial"/>
                <w:sz w:val="22"/>
                <w:szCs w:val="22"/>
              </w:rPr>
              <w:t xml:space="preserve"> and the </w:t>
            </w:r>
            <w:r w:rsidR="00F44914">
              <w:rPr>
                <w:rFonts w:ascii="Arial" w:eastAsia="Arial" w:hAnsi="Arial" w:cs="Arial"/>
                <w:sz w:val="22"/>
                <w:szCs w:val="22"/>
              </w:rPr>
              <w:t>SP OL strategy</w:t>
            </w:r>
            <w:r w:rsidR="00820B95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478E9103" w:rsidR="00952B92" w:rsidRPr="008B3B59" w:rsidRDefault="0089178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Head of Commercial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73EFBD63" w:rsidR="00952B92" w:rsidRPr="008B3B59" w:rsidRDefault="0083120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exec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455BD343" w:rsidR="00D25A13" w:rsidRPr="008B3B59" w:rsidRDefault="006114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Development, NPD, Supply Chain, Production, Finance, Technical, </w:t>
            </w:r>
            <w:r w:rsidR="00CB6AA3">
              <w:rPr>
                <w:rFonts w:ascii="Arial" w:eastAsia="Arial" w:hAnsi="Arial" w:cs="Arial"/>
                <w:sz w:val="22"/>
                <w:szCs w:val="22"/>
              </w:rPr>
              <w:t>Procurement</w:t>
            </w:r>
            <w:r w:rsidR="001838A7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Personnel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0019CE1" w:rsidR="00312B55" w:rsidRPr="008B3B59" w:rsidRDefault="00AB228C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 customer</w:t>
            </w:r>
            <w:r w:rsidR="0098780C">
              <w:rPr>
                <w:rFonts w:ascii="Arial" w:eastAsia="Arial" w:hAnsi="Arial" w:cs="Arial"/>
                <w:sz w:val="22"/>
                <w:szCs w:val="22"/>
              </w:rPr>
              <w:t>’s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commercial, development</w:t>
            </w:r>
            <w:r w:rsidR="0098780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  <w:r w:rsidR="002E7098">
              <w:rPr>
                <w:rFonts w:ascii="Arial" w:eastAsia="Arial" w:hAnsi="Arial" w:cs="Arial"/>
                <w:sz w:val="22"/>
                <w:szCs w:val="22"/>
              </w:rPr>
              <w:t xml:space="preserve"> &amp; </w:t>
            </w:r>
            <w:r w:rsidR="0098780C">
              <w:rPr>
                <w:rFonts w:ascii="Arial" w:eastAsia="Arial" w:hAnsi="Arial" w:cs="Arial"/>
                <w:sz w:val="22"/>
                <w:szCs w:val="22"/>
              </w:rPr>
              <w:t>supply chain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teams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084FAC3A" w14:textId="1532F256" w:rsidR="00AB228C" w:rsidRDefault="00AB228C" w:rsidP="00AB228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C44D45">
              <w:rPr>
                <w:rFonts w:ascii="Arial" w:hAnsi="Arial" w:cs="Arial"/>
              </w:rPr>
              <w:t>D</w:t>
            </w:r>
            <w:r w:rsidR="00580A2F">
              <w:rPr>
                <w:rFonts w:ascii="Arial" w:hAnsi="Arial" w:cs="Arial"/>
              </w:rPr>
              <w:t>eliver</w:t>
            </w:r>
            <w:r w:rsidRPr="00C44D45">
              <w:rPr>
                <w:rFonts w:ascii="Arial" w:hAnsi="Arial" w:cs="Arial"/>
              </w:rPr>
              <w:t xml:space="preserve"> sales </w:t>
            </w:r>
            <w:r w:rsidR="00DE4D68">
              <w:rPr>
                <w:rFonts w:ascii="Arial" w:hAnsi="Arial" w:cs="Arial"/>
              </w:rPr>
              <w:t>&amp;</w:t>
            </w:r>
            <w:r w:rsidRPr="00C44D45">
              <w:rPr>
                <w:rFonts w:ascii="Arial" w:hAnsi="Arial" w:cs="Arial"/>
              </w:rPr>
              <w:t xml:space="preserve"> profit in line with operating plan budgets</w:t>
            </w:r>
            <w:r w:rsidR="00C44D45">
              <w:rPr>
                <w:rFonts w:ascii="Arial" w:hAnsi="Arial" w:cs="Arial"/>
              </w:rPr>
              <w:t>.</w:t>
            </w:r>
          </w:p>
          <w:p w14:paraId="7D711AC1" w14:textId="7F7C4BFB" w:rsidR="007C6176" w:rsidRDefault="007C6176" w:rsidP="00AB228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</w:t>
            </w:r>
            <w:r w:rsidR="006D076D">
              <w:rPr>
                <w:rFonts w:ascii="Arial" w:hAnsi="Arial" w:cs="Arial"/>
              </w:rPr>
              <w:t xml:space="preserve">the accuracy of the </w:t>
            </w:r>
            <w:r w:rsidR="004434D7">
              <w:rPr>
                <w:rFonts w:ascii="Arial" w:hAnsi="Arial" w:cs="Arial"/>
              </w:rPr>
              <w:t xml:space="preserve">52 week rolling </w:t>
            </w:r>
            <w:r w:rsidR="006D076D">
              <w:rPr>
                <w:rFonts w:ascii="Arial" w:hAnsi="Arial" w:cs="Arial"/>
              </w:rPr>
              <w:t>commercial forecast</w:t>
            </w:r>
          </w:p>
          <w:p w14:paraId="718BF225" w14:textId="31013BF8" w:rsidR="00C527A7" w:rsidRPr="00D72CC7" w:rsidRDefault="008476F6" w:rsidP="0010752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D72CC7">
              <w:rPr>
                <w:rFonts w:ascii="Arial" w:hAnsi="Arial" w:cs="Arial"/>
              </w:rPr>
              <w:t>In partnership with the Category team, d</w:t>
            </w:r>
            <w:r w:rsidR="00AB228C" w:rsidRPr="00D72CC7">
              <w:rPr>
                <w:rFonts w:ascii="Arial" w:hAnsi="Arial" w:cs="Arial"/>
              </w:rPr>
              <w:t>rive our share of the savoury pastry market</w:t>
            </w:r>
            <w:r w:rsidR="00D72CC7" w:rsidRPr="00D72CC7">
              <w:rPr>
                <w:rFonts w:ascii="Arial" w:hAnsi="Arial" w:cs="Arial"/>
              </w:rPr>
              <w:t xml:space="preserve"> by setting</w:t>
            </w:r>
            <w:r w:rsidR="00C527A7" w:rsidRPr="00D72CC7">
              <w:rPr>
                <w:rFonts w:ascii="Arial" w:hAnsi="Arial" w:cs="Arial"/>
              </w:rPr>
              <w:t xml:space="preserve"> effective range strategies by format to optimise sales through clear understanding of the category dynamics</w:t>
            </w:r>
            <w:r w:rsidR="00D72CC7">
              <w:rPr>
                <w:rFonts w:ascii="Arial" w:hAnsi="Arial" w:cs="Arial"/>
              </w:rPr>
              <w:t xml:space="preserve"> &amp; </w:t>
            </w:r>
            <w:r w:rsidR="00C527A7" w:rsidRPr="00D72CC7">
              <w:rPr>
                <w:rFonts w:ascii="Arial" w:hAnsi="Arial" w:cs="Arial"/>
              </w:rPr>
              <w:t>shopper motivations to purchase.</w:t>
            </w:r>
          </w:p>
          <w:p w14:paraId="6EBE7CC2" w14:textId="3E1DC07E" w:rsidR="00AB228C" w:rsidRPr="00C44D45" w:rsidRDefault="00AB228C" w:rsidP="00AB228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C44D45">
              <w:rPr>
                <w:rFonts w:ascii="Arial" w:hAnsi="Arial" w:cs="Arial"/>
              </w:rPr>
              <w:t xml:space="preserve">Lead </w:t>
            </w:r>
            <w:r w:rsidR="002C571E">
              <w:rPr>
                <w:rFonts w:ascii="Arial" w:hAnsi="Arial" w:cs="Arial"/>
              </w:rPr>
              <w:t xml:space="preserve">the </w:t>
            </w:r>
            <w:r w:rsidRPr="00C44D45">
              <w:rPr>
                <w:rFonts w:ascii="Arial" w:hAnsi="Arial" w:cs="Arial"/>
              </w:rPr>
              <w:t xml:space="preserve">relationship with </w:t>
            </w:r>
            <w:r w:rsidR="000B67F4">
              <w:rPr>
                <w:rFonts w:ascii="Arial" w:hAnsi="Arial" w:cs="Arial"/>
              </w:rPr>
              <w:t>customers</w:t>
            </w:r>
            <w:r w:rsidRPr="00C44D45">
              <w:rPr>
                <w:rFonts w:ascii="Arial" w:hAnsi="Arial" w:cs="Arial"/>
              </w:rPr>
              <w:t xml:space="preserve"> through effective commercial management</w:t>
            </w:r>
            <w:r w:rsidR="002D0FE3">
              <w:rPr>
                <w:rFonts w:ascii="Arial" w:hAnsi="Arial" w:cs="Arial"/>
              </w:rPr>
              <w:t xml:space="preserve"> &amp; </w:t>
            </w:r>
            <w:r w:rsidRPr="00C44D45">
              <w:rPr>
                <w:rFonts w:ascii="Arial" w:hAnsi="Arial" w:cs="Arial"/>
              </w:rPr>
              <w:t xml:space="preserve">the </w:t>
            </w:r>
            <w:r w:rsidR="002D0FE3">
              <w:rPr>
                <w:rFonts w:ascii="Arial" w:hAnsi="Arial" w:cs="Arial"/>
              </w:rPr>
              <w:t>execution</w:t>
            </w:r>
            <w:r w:rsidRPr="00C44D45">
              <w:rPr>
                <w:rFonts w:ascii="Arial" w:hAnsi="Arial" w:cs="Arial"/>
              </w:rPr>
              <w:t xml:space="preserve"> of a cross functional </w:t>
            </w:r>
            <w:r w:rsidR="000B67F4">
              <w:rPr>
                <w:rFonts w:ascii="Arial" w:hAnsi="Arial" w:cs="Arial"/>
              </w:rPr>
              <w:t>Joint Business Plan</w:t>
            </w:r>
            <w:r w:rsidR="002D0FE3">
              <w:rPr>
                <w:rFonts w:ascii="Arial" w:hAnsi="Arial" w:cs="Arial"/>
              </w:rPr>
              <w:t xml:space="preserve">. </w:t>
            </w:r>
          </w:p>
          <w:p w14:paraId="1F4C40E4" w14:textId="7C4881DB" w:rsidR="00AB228C" w:rsidRPr="00C44D45" w:rsidRDefault="00AB228C" w:rsidP="00AB228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C44D45">
              <w:rPr>
                <w:rFonts w:ascii="Arial" w:hAnsi="Arial" w:cs="Arial"/>
              </w:rPr>
              <w:t xml:space="preserve">Set </w:t>
            </w:r>
            <w:r w:rsidR="008C719A">
              <w:rPr>
                <w:rFonts w:ascii="Arial" w:hAnsi="Arial" w:cs="Arial"/>
              </w:rPr>
              <w:t xml:space="preserve">an </w:t>
            </w:r>
            <w:r w:rsidRPr="00C44D45">
              <w:rPr>
                <w:rFonts w:ascii="Arial" w:hAnsi="Arial" w:cs="Arial"/>
              </w:rPr>
              <w:t xml:space="preserve">effective promotional </w:t>
            </w:r>
            <w:r w:rsidR="00EB1009">
              <w:rPr>
                <w:rFonts w:ascii="Arial" w:hAnsi="Arial" w:cs="Arial"/>
              </w:rPr>
              <w:t>plan,</w:t>
            </w:r>
            <w:r w:rsidRPr="00C44D45">
              <w:rPr>
                <w:rFonts w:ascii="Arial" w:hAnsi="Arial" w:cs="Arial"/>
              </w:rPr>
              <w:t xml:space="preserve"> in line with the total business strategy</w:t>
            </w:r>
            <w:r w:rsidR="00EB1009">
              <w:rPr>
                <w:rFonts w:ascii="Arial" w:hAnsi="Arial" w:cs="Arial"/>
              </w:rPr>
              <w:t>, &amp; complete post promotional</w:t>
            </w:r>
            <w:r w:rsidR="000E3A30">
              <w:rPr>
                <w:rFonts w:ascii="Arial" w:hAnsi="Arial" w:cs="Arial"/>
              </w:rPr>
              <w:t xml:space="preserve"> &amp; post launch analysis</w:t>
            </w:r>
          </w:p>
          <w:p w14:paraId="4B623B87" w14:textId="69E943E3" w:rsidR="00AB228C" w:rsidRPr="00C44D45" w:rsidRDefault="00323E9C" w:rsidP="00AB228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&amp; </w:t>
            </w:r>
            <w:r w:rsidR="00AB228C" w:rsidRPr="00C44D45">
              <w:rPr>
                <w:rFonts w:ascii="Arial" w:hAnsi="Arial" w:cs="Arial"/>
              </w:rPr>
              <w:t xml:space="preserve">through team collaboration </w:t>
            </w:r>
            <w:r>
              <w:rPr>
                <w:rFonts w:ascii="Arial" w:hAnsi="Arial" w:cs="Arial"/>
              </w:rPr>
              <w:t xml:space="preserve">identify </w:t>
            </w:r>
            <w:r w:rsidR="00AB228C" w:rsidRPr="00C44D45">
              <w:rPr>
                <w:rFonts w:ascii="Arial" w:hAnsi="Arial" w:cs="Arial"/>
              </w:rPr>
              <w:t>new product development</w:t>
            </w:r>
            <w:r>
              <w:rPr>
                <w:rFonts w:ascii="Arial" w:hAnsi="Arial" w:cs="Arial"/>
              </w:rPr>
              <w:t xml:space="preserve">, </w:t>
            </w:r>
            <w:r w:rsidR="00AB228C" w:rsidRPr="00C44D45">
              <w:rPr>
                <w:rFonts w:ascii="Arial" w:hAnsi="Arial" w:cs="Arial"/>
              </w:rPr>
              <w:t xml:space="preserve">interpreting market </w:t>
            </w:r>
            <w:r w:rsidR="00324613">
              <w:rPr>
                <w:rFonts w:ascii="Arial" w:hAnsi="Arial" w:cs="Arial"/>
              </w:rPr>
              <w:t>data</w:t>
            </w:r>
            <w:r w:rsidR="00AB228C" w:rsidRPr="00C44D45">
              <w:rPr>
                <w:rFonts w:ascii="Arial" w:hAnsi="Arial" w:cs="Arial"/>
              </w:rPr>
              <w:t xml:space="preserve"> to form actionable insight.</w:t>
            </w:r>
          </w:p>
          <w:p w14:paraId="17B53F7A" w14:textId="7EC7EB05" w:rsidR="00AB228C" w:rsidRPr="00C44D45" w:rsidRDefault="0063075C" w:rsidP="00AB228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Proactively d</w:t>
            </w:r>
            <w:r w:rsidR="00AB228C" w:rsidRPr="00C44D45">
              <w:rPr>
                <w:rFonts w:ascii="Arial" w:hAnsi="Arial" w:cs="Arial"/>
              </w:rPr>
              <w:t xml:space="preserve">rive </w:t>
            </w:r>
            <w:r w:rsidR="0081183A">
              <w:rPr>
                <w:rFonts w:ascii="Arial" w:hAnsi="Arial" w:cs="Arial"/>
              </w:rPr>
              <w:t xml:space="preserve">customer </w:t>
            </w:r>
            <w:r w:rsidR="00AB228C" w:rsidRPr="00C44D45">
              <w:rPr>
                <w:rFonts w:ascii="Arial" w:hAnsi="Arial" w:cs="Arial"/>
              </w:rPr>
              <w:t xml:space="preserve">efficiency improvements </w:t>
            </w:r>
            <w:r w:rsidR="0081183A">
              <w:rPr>
                <w:rFonts w:ascii="Arial" w:hAnsi="Arial" w:cs="Arial"/>
              </w:rPr>
              <w:t xml:space="preserve">to </w:t>
            </w:r>
            <w:r w:rsidR="00DE4D68">
              <w:rPr>
                <w:rFonts w:ascii="Arial" w:hAnsi="Arial" w:cs="Arial"/>
              </w:rPr>
              <w:t xml:space="preserve">drive our profit &amp; </w:t>
            </w:r>
            <w:r w:rsidR="0081183A">
              <w:rPr>
                <w:rFonts w:ascii="Arial" w:hAnsi="Arial" w:cs="Arial"/>
              </w:rPr>
              <w:t>maintain our</w:t>
            </w:r>
            <w:r w:rsidR="00AB228C" w:rsidRPr="00C44D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competitiveness</w:t>
            </w:r>
          </w:p>
          <w:p w14:paraId="1DF2F75F" w14:textId="0164E7B4" w:rsidR="00A91FDC" w:rsidRDefault="005E778E" w:rsidP="004434D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Commercial Finance, help to maintain the</w:t>
            </w:r>
            <w:r w:rsidR="00FC3310">
              <w:rPr>
                <w:rFonts w:ascii="Arial" w:hAnsi="Arial" w:cs="Arial"/>
              </w:rPr>
              <w:t xml:space="preserve"> flow through commodity cost model</w:t>
            </w:r>
          </w:p>
          <w:p w14:paraId="0D08BED9" w14:textId="34DE56B9" w:rsidR="00A91FDC" w:rsidRPr="00C44D45" w:rsidRDefault="00A91FDC" w:rsidP="00A91FD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all customer &amp; business administrative tasks are completed accurately &amp; in a timely manner</w:t>
            </w:r>
          </w:p>
          <w:p w14:paraId="43F75E06" w14:textId="238E3B50" w:rsidR="00B668AC" w:rsidRPr="00B668AC" w:rsidRDefault="00B668AC" w:rsidP="00A91FDC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</w:tcPr>
          <w:p w14:paraId="326B1EE2" w14:textId="222B7CF6" w:rsidR="00B668AC" w:rsidRDefault="00B668AC" w:rsidP="0027115F">
            <w:pPr>
              <w:rPr>
                <w:rFonts w:ascii="Arial" w:eastAsia="Arial" w:hAnsi="Arial" w:cs="Arial"/>
                <w:color w:val="FFFFFF"/>
              </w:rPr>
            </w:pPr>
          </w:p>
          <w:p w14:paraId="0F1EF874" w14:textId="77777777" w:rsidR="0027115F" w:rsidRDefault="0027115F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within FMCG with major retailer knowledge</w:t>
            </w:r>
          </w:p>
          <w:p w14:paraId="57EA0E4E" w14:textId="7B6920B6" w:rsidR="0027115F" w:rsidRDefault="0027115F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Experience</w:t>
            </w:r>
            <w:r w:rsidR="001363F7">
              <w:rPr>
                <w:rFonts w:ascii="Arial" w:eastAsia="Arial" w:hAnsi="Arial" w:cs="Arial"/>
              </w:rPr>
              <w:t>d within FMCG with Food Manufacturing</w:t>
            </w:r>
          </w:p>
          <w:p w14:paraId="5DA8A39A" w14:textId="54FB5FF5" w:rsidR="0027115F" w:rsidRDefault="00BE3606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commercial acumen </w:t>
            </w:r>
          </w:p>
          <w:p w14:paraId="770797F1" w14:textId="0CD7F072" w:rsidR="0027115F" w:rsidRDefault="0027115F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at building rapport</w:t>
            </w:r>
            <w:r w:rsidR="005A132E">
              <w:rPr>
                <w:rFonts w:ascii="Arial" w:eastAsia="Arial" w:hAnsi="Arial" w:cs="Arial"/>
              </w:rPr>
              <w:t xml:space="preserve"> can demonstrate influencing skills understanding the nuances of internal and </w:t>
            </w:r>
            <w:r w:rsidR="00574945">
              <w:rPr>
                <w:rFonts w:ascii="Arial" w:eastAsia="Arial" w:hAnsi="Arial" w:cs="Arial"/>
              </w:rPr>
              <w:t>external behaviours</w:t>
            </w:r>
          </w:p>
          <w:p w14:paraId="2C70B5AD" w14:textId="5B394857" w:rsidR="007F3620" w:rsidRDefault="007F3620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</w:t>
            </w:r>
            <w:r w:rsidR="0042467A">
              <w:rPr>
                <w:rFonts w:ascii="Arial" w:eastAsia="Arial" w:hAnsi="Arial" w:cs="Arial"/>
              </w:rPr>
              <w:t xml:space="preserve">interpersonal &amp; communication skills to </w:t>
            </w:r>
            <w:r w:rsidR="00574945">
              <w:rPr>
                <w:rFonts w:ascii="Arial" w:eastAsia="Arial" w:hAnsi="Arial" w:cs="Arial"/>
              </w:rPr>
              <w:t xml:space="preserve">lead </w:t>
            </w:r>
            <w:r w:rsidR="00E41EDC">
              <w:rPr>
                <w:rFonts w:ascii="Arial" w:eastAsia="Arial" w:hAnsi="Arial" w:cs="Arial"/>
              </w:rPr>
              <w:t xml:space="preserve">and manage </w:t>
            </w:r>
            <w:r w:rsidR="00574945">
              <w:rPr>
                <w:rFonts w:ascii="Arial" w:eastAsia="Arial" w:hAnsi="Arial" w:cs="Arial"/>
              </w:rPr>
              <w:t xml:space="preserve">the customer agenda </w:t>
            </w:r>
            <w:r w:rsidR="0042467A">
              <w:rPr>
                <w:rFonts w:ascii="Arial" w:eastAsia="Arial" w:hAnsi="Arial" w:cs="Arial"/>
              </w:rPr>
              <w:t xml:space="preserve">across </w:t>
            </w:r>
            <w:r w:rsidR="00604821">
              <w:rPr>
                <w:rFonts w:ascii="Arial" w:eastAsia="Arial" w:hAnsi="Arial" w:cs="Arial"/>
              </w:rPr>
              <w:t>our</w:t>
            </w:r>
            <w:r w:rsidR="0042467A">
              <w:rPr>
                <w:rFonts w:ascii="Arial" w:eastAsia="Arial" w:hAnsi="Arial" w:cs="Arial"/>
              </w:rPr>
              <w:t xml:space="preserve"> </w:t>
            </w:r>
            <w:r w:rsidR="00210FB1">
              <w:rPr>
                <w:rFonts w:ascii="Arial" w:eastAsia="Arial" w:hAnsi="Arial" w:cs="Arial"/>
              </w:rPr>
              <w:t xml:space="preserve">internal </w:t>
            </w:r>
            <w:r w:rsidR="0042467A">
              <w:rPr>
                <w:rFonts w:ascii="Arial" w:eastAsia="Arial" w:hAnsi="Arial" w:cs="Arial"/>
              </w:rPr>
              <w:t>b</w:t>
            </w:r>
            <w:r w:rsidR="00604821">
              <w:rPr>
                <w:rFonts w:ascii="Arial" w:eastAsia="Arial" w:hAnsi="Arial" w:cs="Arial"/>
              </w:rPr>
              <w:t xml:space="preserve">usiness functions &amp; with </w:t>
            </w:r>
            <w:r w:rsidR="00D57647">
              <w:rPr>
                <w:rFonts w:ascii="Arial" w:eastAsia="Arial" w:hAnsi="Arial" w:cs="Arial"/>
              </w:rPr>
              <w:t xml:space="preserve">our </w:t>
            </w:r>
            <w:r w:rsidR="00210FB1">
              <w:rPr>
                <w:rFonts w:ascii="Arial" w:eastAsia="Arial" w:hAnsi="Arial" w:cs="Arial"/>
              </w:rPr>
              <w:t xml:space="preserve">retail </w:t>
            </w:r>
            <w:r w:rsidR="00604821">
              <w:rPr>
                <w:rFonts w:ascii="Arial" w:eastAsia="Arial" w:hAnsi="Arial" w:cs="Arial"/>
              </w:rPr>
              <w:t>customers.</w:t>
            </w:r>
          </w:p>
          <w:p w14:paraId="33F9C5B7" w14:textId="5DC163EE" w:rsidR="001A618C" w:rsidRDefault="001F0D84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</w:t>
            </w:r>
            <w:r w:rsidR="001A618C">
              <w:rPr>
                <w:rFonts w:ascii="Arial" w:eastAsia="Arial" w:hAnsi="Arial" w:cs="Arial"/>
              </w:rPr>
              <w:t xml:space="preserve"> organisational skills with the ability to manage multiple projects simultaneously</w:t>
            </w:r>
          </w:p>
          <w:p w14:paraId="3DB93F5B" w14:textId="6A72A5FD" w:rsidR="0027115F" w:rsidRDefault="0027115F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Proficient in analysing data</w:t>
            </w:r>
            <w:r w:rsidR="00C84612">
              <w:rPr>
                <w:rFonts w:ascii="Arial" w:eastAsia="Arial" w:hAnsi="Arial" w:cs="Arial"/>
              </w:rPr>
              <w:t xml:space="preserve">, gaining insights &amp; </w:t>
            </w:r>
            <w:r>
              <w:rPr>
                <w:rFonts w:ascii="Arial" w:eastAsia="Arial" w:hAnsi="Arial" w:cs="Arial"/>
              </w:rPr>
              <w:t>using th</w:t>
            </w:r>
            <w:r w:rsidR="00C84612">
              <w:rPr>
                <w:rFonts w:ascii="Arial" w:eastAsia="Arial" w:hAnsi="Arial" w:cs="Arial"/>
              </w:rPr>
              <w:t>ese insights</w:t>
            </w:r>
            <w:r>
              <w:rPr>
                <w:rFonts w:ascii="Arial" w:eastAsia="Arial" w:hAnsi="Arial" w:cs="Arial"/>
              </w:rPr>
              <w:t xml:space="preserve"> to inform decisions</w:t>
            </w:r>
            <w:r w:rsidR="00C84612">
              <w:rPr>
                <w:rFonts w:ascii="Arial" w:eastAsia="Arial" w:hAnsi="Arial" w:cs="Arial"/>
              </w:rPr>
              <w:t>.</w:t>
            </w:r>
          </w:p>
          <w:p w14:paraId="1D6DE941" w14:textId="089295E4" w:rsidR="0027115F" w:rsidRDefault="007A5548" w:rsidP="0027115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27115F">
              <w:rPr>
                <w:rFonts w:ascii="Arial" w:eastAsia="Arial" w:hAnsi="Arial" w:cs="Arial"/>
              </w:rPr>
              <w:t xml:space="preserve">egree </w:t>
            </w:r>
            <w:r w:rsidR="0095689B">
              <w:rPr>
                <w:rFonts w:ascii="Arial" w:eastAsia="Arial" w:hAnsi="Arial" w:cs="Arial"/>
              </w:rPr>
              <w:t>educated or equivalent preferred</w:t>
            </w:r>
          </w:p>
          <w:p w14:paraId="45566247" w14:textId="50A3592E" w:rsidR="00B668AC" w:rsidRPr="0027115F" w:rsidRDefault="0027115F" w:rsidP="00B668A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clean driving licen</w:t>
            </w:r>
            <w:r w:rsidR="007A5548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</w:tc>
      </w:tr>
      <w:tr w:rsidR="00C44D45" w:rsidRPr="008B3B59" w14:paraId="146CBE9B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5B5CDBE5" w14:textId="09AB1471" w:rsidR="00C44D45" w:rsidRDefault="00C44D45">
            <w:pP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KEY SKILLS</w:t>
            </w:r>
          </w:p>
        </w:tc>
      </w:tr>
      <w:tr w:rsidR="00C44D45" w:rsidRPr="008B3B59" w14:paraId="43C75120" w14:textId="77777777" w:rsidTr="00C44D45">
        <w:trPr>
          <w:trHeight w:val="200"/>
        </w:trPr>
        <w:tc>
          <w:tcPr>
            <w:tcW w:w="10207" w:type="dxa"/>
            <w:gridSpan w:val="4"/>
          </w:tcPr>
          <w:p w14:paraId="3EFFB62A" w14:textId="77777777" w:rsidR="00C854C1" w:rsidRDefault="00C44D45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Commercial acumen </w:t>
            </w:r>
          </w:p>
          <w:p w14:paraId="20B89852" w14:textId="56BE5009" w:rsidR="00C44D45" w:rsidRDefault="0055705C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Negotiat</w:t>
            </w:r>
            <w:r w:rsidR="00987CC7">
              <w:rPr>
                <w:rFonts w:ascii="Arial" w:eastAsia="Arial" w:hAnsi="Arial" w:cs="Arial"/>
              </w:rPr>
              <w:t>ion</w:t>
            </w:r>
          </w:p>
          <w:p w14:paraId="536A5A9E" w14:textId="77777777" w:rsidR="00C44D45" w:rsidRDefault="00C44D45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Logical decision making</w:t>
            </w:r>
          </w:p>
          <w:p w14:paraId="2A735661" w14:textId="74F301A6" w:rsidR="00C44D45" w:rsidRDefault="00C44D45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communication </w:t>
            </w:r>
            <w:r w:rsidR="00227320"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</w:rPr>
              <w:t xml:space="preserve"> influencing skills</w:t>
            </w:r>
          </w:p>
          <w:p w14:paraId="5D6A7E4C" w14:textId="5E114834" w:rsidR="00C44D45" w:rsidRDefault="004E07D5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Analytical skills</w:t>
            </w:r>
          </w:p>
          <w:p w14:paraId="27549733" w14:textId="2B8478C8" w:rsidR="00C44D45" w:rsidRPr="00FB3D07" w:rsidRDefault="00C44D45" w:rsidP="00D93A7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FB3D07">
              <w:rPr>
                <w:rFonts w:ascii="Arial" w:eastAsia="Arial" w:hAnsi="Arial" w:cs="Arial"/>
              </w:rPr>
              <w:t>Team working</w:t>
            </w:r>
            <w:r w:rsidR="00FB3D07">
              <w:rPr>
                <w:rFonts w:ascii="Arial" w:eastAsia="Arial" w:hAnsi="Arial" w:cs="Arial"/>
              </w:rPr>
              <w:t>, r</w:t>
            </w:r>
            <w:r w:rsidR="00232158">
              <w:rPr>
                <w:rFonts w:ascii="Arial" w:eastAsia="Arial" w:hAnsi="Arial" w:cs="Arial"/>
              </w:rPr>
              <w:t>elationship</w:t>
            </w:r>
            <w:r w:rsidR="00FB3D07">
              <w:rPr>
                <w:rFonts w:ascii="Arial" w:eastAsia="Arial" w:hAnsi="Arial" w:cs="Arial"/>
              </w:rPr>
              <w:t xml:space="preserve"> builder</w:t>
            </w:r>
          </w:p>
          <w:p w14:paraId="7A7147BD" w14:textId="781735B5" w:rsidR="00C44D45" w:rsidRDefault="00FF2665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management</w:t>
            </w:r>
          </w:p>
          <w:p w14:paraId="4185C445" w14:textId="7342DD6B" w:rsidR="00C44D45" w:rsidRPr="00C44D45" w:rsidRDefault="000F0971" w:rsidP="00C44D4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Planning &amp; prioritisation / Attention to detail.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3F74" w14:textId="77777777" w:rsidR="009A59B6" w:rsidRDefault="009A59B6">
      <w:r>
        <w:separator/>
      </w:r>
    </w:p>
  </w:endnote>
  <w:endnote w:type="continuationSeparator" w:id="0">
    <w:p w14:paraId="5442CE13" w14:textId="77777777" w:rsidR="009A59B6" w:rsidRDefault="009A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337C" w14:textId="77777777" w:rsidR="009A59B6" w:rsidRDefault="009A59B6">
      <w:r>
        <w:separator/>
      </w:r>
    </w:p>
  </w:footnote>
  <w:footnote w:type="continuationSeparator" w:id="0">
    <w:p w14:paraId="3160BD7B" w14:textId="77777777" w:rsidR="009A59B6" w:rsidRDefault="009A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57C"/>
    <w:multiLevelType w:val="hybridMultilevel"/>
    <w:tmpl w:val="6544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7C78"/>
    <w:multiLevelType w:val="hybridMultilevel"/>
    <w:tmpl w:val="38769372"/>
    <w:lvl w:ilvl="0" w:tplc="84505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D32AF"/>
    <w:multiLevelType w:val="hybridMultilevel"/>
    <w:tmpl w:val="239C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16277"/>
    <w:multiLevelType w:val="hybridMultilevel"/>
    <w:tmpl w:val="8F6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0CAB"/>
    <w:multiLevelType w:val="hybridMultilevel"/>
    <w:tmpl w:val="470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9302">
    <w:abstractNumId w:val="5"/>
  </w:num>
  <w:num w:numId="2" w16cid:durableId="1608391885">
    <w:abstractNumId w:val="6"/>
  </w:num>
  <w:num w:numId="3" w16cid:durableId="323969796">
    <w:abstractNumId w:val="4"/>
  </w:num>
  <w:num w:numId="4" w16cid:durableId="1412582728">
    <w:abstractNumId w:val="0"/>
  </w:num>
  <w:num w:numId="5" w16cid:durableId="854223017">
    <w:abstractNumId w:val="2"/>
  </w:num>
  <w:num w:numId="6" w16cid:durableId="1187207380">
    <w:abstractNumId w:val="3"/>
  </w:num>
  <w:num w:numId="7" w16cid:durableId="173515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4541A"/>
    <w:rsid w:val="00054D0D"/>
    <w:rsid w:val="000744CA"/>
    <w:rsid w:val="00081A17"/>
    <w:rsid w:val="000A36DC"/>
    <w:rsid w:val="000B67F4"/>
    <w:rsid w:val="000C3D26"/>
    <w:rsid w:val="000C5466"/>
    <w:rsid w:val="000E3A30"/>
    <w:rsid w:val="000F0971"/>
    <w:rsid w:val="001363F7"/>
    <w:rsid w:val="00140E8C"/>
    <w:rsid w:val="001468DE"/>
    <w:rsid w:val="001651C6"/>
    <w:rsid w:val="001838A7"/>
    <w:rsid w:val="00192BDB"/>
    <w:rsid w:val="00194C4C"/>
    <w:rsid w:val="001A618C"/>
    <w:rsid w:val="001B6D99"/>
    <w:rsid w:val="001C1BFA"/>
    <w:rsid w:val="001F0D84"/>
    <w:rsid w:val="001F46DB"/>
    <w:rsid w:val="00210FB1"/>
    <w:rsid w:val="00220182"/>
    <w:rsid w:val="00227320"/>
    <w:rsid w:val="00232158"/>
    <w:rsid w:val="002405C0"/>
    <w:rsid w:val="00247CD4"/>
    <w:rsid w:val="002503A1"/>
    <w:rsid w:val="0027115F"/>
    <w:rsid w:val="00276BB5"/>
    <w:rsid w:val="00287643"/>
    <w:rsid w:val="00293280"/>
    <w:rsid w:val="002A312F"/>
    <w:rsid w:val="002A3BA2"/>
    <w:rsid w:val="002C571E"/>
    <w:rsid w:val="002D0FE3"/>
    <w:rsid w:val="002D21B8"/>
    <w:rsid w:val="002E43AB"/>
    <w:rsid w:val="002E7098"/>
    <w:rsid w:val="00312B55"/>
    <w:rsid w:val="003168DA"/>
    <w:rsid w:val="003221B0"/>
    <w:rsid w:val="00323E9C"/>
    <w:rsid w:val="00324613"/>
    <w:rsid w:val="0033077C"/>
    <w:rsid w:val="003B03FB"/>
    <w:rsid w:val="003E1388"/>
    <w:rsid w:val="0042467A"/>
    <w:rsid w:val="00426423"/>
    <w:rsid w:val="00427AFB"/>
    <w:rsid w:val="00430615"/>
    <w:rsid w:val="004434D7"/>
    <w:rsid w:val="00444D51"/>
    <w:rsid w:val="004511E1"/>
    <w:rsid w:val="00495456"/>
    <w:rsid w:val="00496895"/>
    <w:rsid w:val="004A7359"/>
    <w:rsid w:val="004E07D5"/>
    <w:rsid w:val="005158DB"/>
    <w:rsid w:val="005311A0"/>
    <w:rsid w:val="0053650F"/>
    <w:rsid w:val="005510B1"/>
    <w:rsid w:val="00554F00"/>
    <w:rsid w:val="0055705C"/>
    <w:rsid w:val="00574945"/>
    <w:rsid w:val="00577DC5"/>
    <w:rsid w:val="00580A2F"/>
    <w:rsid w:val="005975B3"/>
    <w:rsid w:val="005A132E"/>
    <w:rsid w:val="005A6A41"/>
    <w:rsid w:val="005A716A"/>
    <w:rsid w:val="005E778E"/>
    <w:rsid w:val="00604821"/>
    <w:rsid w:val="00611496"/>
    <w:rsid w:val="00616472"/>
    <w:rsid w:val="0063075C"/>
    <w:rsid w:val="0065202D"/>
    <w:rsid w:val="006A222E"/>
    <w:rsid w:val="006A55AD"/>
    <w:rsid w:val="006B1D8A"/>
    <w:rsid w:val="006B2AD2"/>
    <w:rsid w:val="006B405B"/>
    <w:rsid w:val="006C24FB"/>
    <w:rsid w:val="006D076D"/>
    <w:rsid w:val="006F5664"/>
    <w:rsid w:val="007733B3"/>
    <w:rsid w:val="007958EF"/>
    <w:rsid w:val="007966F7"/>
    <w:rsid w:val="007A4E52"/>
    <w:rsid w:val="007A5548"/>
    <w:rsid w:val="007C1AFC"/>
    <w:rsid w:val="007C22D7"/>
    <w:rsid w:val="007C6176"/>
    <w:rsid w:val="007C6F24"/>
    <w:rsid w:val="007D749F"/>
    <w:rsid w:val="007E1F0D"/>
    <w:rsid w:val="007F3620"/>
    <w:rsid w:val="007F56A3"/>
    <w:rsid w:val="008034D5"/>
    <w:rsid w:val="00807480"/>
    <w:rsid w:val="00807F2D"/>
    <w:rsid w:val="0081183A"/>
    <w:rsid w:val="00820B95"/>
    <w:rsid w:val="00831203"/>
    <w:rsid w:val="00835282"/>
    <w:rsid w:val="0083787B"/>
    <w:rsid w:val="0084465B"/>
    <w:rsid w:val="008476F6"/>
    <w:rsid w:val="0089178B"/>
    <w:rsid w:val="008B3B59"/>
    <w:rsid w:val="008C719A"/>
    <w:rsid w:val="008F40F9"/>
    <w:rsid w:val="00922B2C"/>
    <w:rsid w:val="00952B92"/>
    <w:rsid w:val="0095689B"/>
    <w:rsid w:val="0098780C"/>
    <w:rsid w:val="00987CC7"/>
    <w:rsid w:val="009A59B6"/>
    <w:rsid w:val="009F5D60"/>
    <w:rsid w:val="00A1505D"/>
    <w:rsid w:val="00A21739"/>
    <w:rsid w:val="00A23D57"/>
    <w:rsid w:val="00A24F20"/>
    <w:rsid w:val="00A31AEF"/>
    <w:rsid w:val="00A90678"/>
    <w:rsid w:val="00A91FDC"/>
    <w:rsid w:val="00AA05B5"/>
    <w:rsid w:val="00AB228C"/>
    <w:rsid w:val="00B15E1D"/>
    <w:rsid w:val="00B31B4C"/>
    <w:rsid w:val="00B44902"/>
    <w:rsid w:val="00B54FA1"/>
    <w:rsid w:val="00B668AC"/>
    <w:rsid w:val="00B779B6"/>
    <w:rsid w:val="00B86BD9"/>
    <w:rsid w:val="00B91F9C"/>
    <w:rsid w:val="00BB1310"/>
    <w:rsid w:val="00BB4190"/>
    <w:rsid w:val="00BC020B"/>
    <w:rsid w:val="00BE3606"/>
    <w:rsid w:val="00BF1554"/>
    <w:rsid w:val="00BF6D42"/>
    <w:rsid w:val="00C16BAE"/>
    <w:rsid w:val="00C25DFC"/>
    <w:rsid w:val="00C44D45"/>
    <w:rsid w:val="00C527A7"/>
    <w:rsid w:val="00C673B8"/>
    <w:rsid w:val="00C84612"/>
    <w:rsid w:val="00C854C1"/>
    <w:rsid w:val="00CB6AA3"/>
    <w:rsid w:val="00CE4976"/>
    <w:rsid w:val="00CE6E09"/>
    <w:rsid w:val="00CF08C0"/>
    <w:rsid w:val="00D25A13"/>
    <w:rsid w:val="00D57647"/>
    <w:rsid w:val="00D60972"/>
    <w:rsid w:val="00D72CC7"/>
    <w:rsid w:val="00D750C7"/>
    <w:rsid w:val="00D8005E"/>
    <w:rsid w:val="00D8521A"/>
    <w:rsid w:val="00D863C9"/>
    <w:rsid w:val="00DD6B02"/>
    <w:rsid w:val="00DE4D68"/>
    <w:rsid w:val="00DF64BD"/>
    <w:rsid w:val="00E2557C"/>
    <w:rsid w:val="00E41EDC"/>
    <w:rsid w:val="00E430B9"/>
    <w:rsid w:val="00E46331"/>
    <w:rsid w:val="00E5113C"/>
    <w:rsid w:val="00E83996"/>
    <w:rsid w:val="00E93627"/>
    <w:rsid w:val="00EA0867"/>
    <w:rsid w:val="00EB1009"/>
    <w:rsid w:val="00EC4591"/>
    <w:rsid w:val="00EC5F49"/>
    <w:rsid w:val="00ED78A1"/>
    <w:rsid w:val="00EE2B26"/>
    <w:rsid w:val="00F11C09"/>
    <w:rsid w:val="00F275F5"/>
    <w:rsid w:val="00F310DA"/>
    <w:rsid w:val="00F446A2"/>
    <w:rsid w:val="00F44914"/>
    <w:rsid w:val="00F7689E"/>
    <w:rsid w:val="00F91276"/>
    <w:rsid w:val="00F97A2B"/>
    <w:rsid w:val="00FA32A9"/>
    <w:rsid w:val="00FB2DF0"/>
    <w:rsid w:val="00FB3D07"/>
    <w:rsid w:val="00FC3310"/>
    <w:rsid w:val="00FF2665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52ED7E1-1115-4FF3-B697-8B64602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f7865c044062efd8bf9259b30dda7ef0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E31FD-9222-4582-92F0-896619AA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95A4D-2AE4-40FA-80A2-54D21395A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44F32-BBEF-4B6B-AB77-8CE013FA2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Debs Roworth</cp:lastModifiedBy>
  <cp:revision>4</cp:revision>
  <cp:lastPrinted>2021-06-25T15:11:00Z</cp:lastPrinted>
  <dcterms:created xsi:type="dcterms:W3CDTF">2025-07-31T10:10:00Z</dcterms:created>
  <dcterms:modified xsi:type="dcterms:W3CDTF">2025-07-31T10:12:00Z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