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4DE0BB" w14:textId="77777777" w:rsidR="008F3B02" w:rsidRDefault="008F3B02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54C71516" w:rsidR="00952B92" w:rsidRDefault="00F15FC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7480D19E" wp14:editId="1E4EF1E9">
            <wp:extent cx="2952115" cy="1229566"/>
            <wp:effectExtent l="0" t="0" r="0" b="8890"/>
            <wp:docPr id="689110898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10898" name="Picture 1" descr="A black background with green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993" cy="124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C5C8" w14:textId="77777777" w:rsidR="00087F13" w:rsidRPr="008B3B59" w:rsidRDefault="00087F13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087F13" w:rsidRPr="00B826F9" w14:paraId="5E42D36D" w14:textId="77777777" w:rsidTr="00745951">
        <w:trPr>
          <w:trHeight w:val="220"/>
        </w:trPr>
        <w:tc>
          <w:tcPr>
            <w:tcW w:w="10320" w:type="dxa"/>
            <w:gridSpan w:val="2"/>
            <w:shd w:val="clear" w:color="auto" w:fill="203B24" w:themeFill="text1"/>
          </w:tcPr>
          <w:p w14:paraId="0CA9843D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E4DE7" w:rsidRPr="00B826F9" w14:paraId="25E69AAF" w14:textId="77777777" w:rsidTr="00745951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072BD931" w14:textId="77777777" w:rsidR="00CE4DE7" w:rsidRPr="00B826F9" w:rsidRDefault="00CE4DE7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09AF51ED" w14:textId="6C71BAD9" w:rsidR="00CE4DE7" w:rsidRPr="00B826F9" w:rsidRDefault="004F69C4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SHE Technician</w:t>
            </w:r>
          </w:p>
        </w:tc>
      </w:tr>
      <w:tr w:rsidR="00087F13" w:rsidRPr="00B826F9" w14:paraId="0046B8EA" w14:textId="77777777" w:rsidTr="00745951">
        <w:trPr>
          <w:trHeight w:val="260"/>
        </w:trPr>
        <w:tc>
          <w:tcPr>
            <w:tcW w:w="2678" w:type="dxa"/>
            <w:shd w:val="clear" w:color="auto" w:fill="A9C2A5" w:themeFill="background2"/>
          </w:tcPr>
          <w:p w14:paraId="55EA6B3A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1D206EC8" w14:textId="6A0F79FD" w:rsidR="00087F13" w:rsidRPr="00B826F9" w:rsidRDefault="004F69C4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Melton Foods</w:t>
            </w:r>
          </w:p>
        </w:tc>
      </w:tr>
      <w:tr w:rsidR="00087F13" w:rsidRPr="00B826F9" w14:paraId="2ADE424B" w14:textId="77777777" w:rsidTr="00745951">
        <w:tc>
          <w:tcPr>
            <w:tcW w:w="2678" w:type="dxa"/>
            <w:shd w:val="clear" w:color="auto" w:fill="A9C2A5" w:themeFill="background2"/>
          </w:tcPr>
          <w:p w14:paraId="34309CB6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47F8B255" w14:textId="34CE47F7" w:rsidR="00087F13" w:rsidRPr="00B826F9" w:rsidRDefault="004F69C4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SHE Team</w:t>
            </w:r>
          </w:p>
        </w:tc>
      </w:tr>
      <w:tr w:rsidR="00087F13" w:rsidRPr="00B826F9" w14:paraId="0BFED375" w14:textId="77777777" w:rsidTr="00745951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2BA201CD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012BE50D" w14:textId="49287C24" w:rsidR="00087F13" w:rsidRPr="00B826F9" w:rsidRDefault="004F69C4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Melton Mowbray</w:t>
            </w:r>
            <w:r w:rsidR="00F15FC2">
              <w:rPr>
                <w:rFonts w:ascii="Avenir Next LT Pro" w:eastAsia="Arial" w:hAnsi="Avenir Next LT Pro" w:cs="Arial"/>
                <w:sz w:val="22"/>
                <w:szCs w:val="22"/>
              </w:rPr>
              <w:t xml:space="preserve">, Leicestershire </w:t>
            </w:r>
          </w:p>
        </w:tc>
      </w:tr>
      <w:tr w:rsidR="00087F13" w:rsidRPr="00B826F9" w14:paraId="6A1887E2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4A02D7AB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087F13" w:rsidRPr="00B826F9" w14:paraId="0FA7620A" w14:textId="77777777" w:rsidTr="00087F13">
        <w:trPr>
          <w:trHeight w:val="940"/>
        </w:trPr>
        <w:tc>
          <w:tcPr>
            <w:tcW w:w="10320" w:type="dxa"/>
            <w:gridSpan w:val="2"/>
          </w:tcPr>
          <w:p w14:paraId="422D8A69" w14:textId="77777777" w:rsidR="005C395A" w:rsidRDefault="005C395A" w:rsidP="009219C6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</w:p>
          <w:p w14:paraId="070EB1C9" w14:textId="77777777" w:rsidR="005C395A" w:rsidRDefault="005C395A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  <w:r w:rsidRPr="005C395A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At 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Melton Foods</w:t>
            </w:r>
            <w:r w:rsidRPr="005C395A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, our people are the heart of our business, and our 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Safety, Health &amp; Environment</w:t>
            </w:r>
            <w:r w:rsidRPr="005C395A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T</w:t>
            </w:r>
            <w:r w:rsidRPr="005C395A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eam is at the forefront of ensuring our workplaces are safe, healthy, and compliant. </w:t>
            </w:r>
          </w:p>
          <w:p w14:paraId="1212C26D" w14:textId="77777777" w:rsidR="002A5382" w:rsidRDefault="00227328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Supporting the SHE Manager</w:t>
            </w:r>
            <w:r w:rsidR="00753A2F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, the SHE Technician will be responsible for ensuring the </w:t>
            </w:r>
            <w:r w:rsidR="00A53B66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day-to-day operation of the SHE Management system </w:t>
            </w:r>
            <w:r w:rsidR="001F2851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is functioning correctly. </w:t>
            </w:r>
          </w:p>
          <w:p w14:paraId="0EC060BB" w14:textId="77777777" w:rsidR="002A5382" w:rsidRDefault="002A5382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</w:p>
          <w:p w14:paraId="4923E4E2" w14:textId="74B9961A" w:rsidR="00227328" w:rsidRDefault="001F2851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They will be the first point of contact </w:t>
            </w:r>
            <w:r w:rsidR="008713E7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for the review of incidents</w:t>
            </w:r>
            <w:r w:rsidR="00A61056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, lead and/or support with key site inspections</w:t>
            </w:r>
            <w:r w:rsidR="005300E3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&amp; audits, will coach and guide managers to take personal responsibility for </w:t>
            </w:r>
            <w:r w:rsidR="00387533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SHE responsibilities within their areas</w:t>
            </w:r>
            <w:r w:rsidR="002A5382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. </w:t>
            </w:r>
          </w:p>
          <w:p w14:paraId="3E943679" w14:textId="77777777" w:rsidR="002A5382" w:rsidRDefault="002A5382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</w:p>
          <w:p w14:paraId="68BCA3D4" w14:textId="40469C74" w:rsidR="002A5382" w:rsidRDefault="002A5382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The SHE Technician will also undertake SHE improvement projects, as directed by the SHE Manager</w:t>
            </w:r>
            <w:r w:rsidR="00B000CC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, ensuring that they are delivered </w:t>
            </w:r>
            <w:r w:rsidR="00A8521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successfully and sustainable. They will also </w:t>
            </w:r>
            <w:r w:rsidR="00EA49D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collate key performance metrics, analyse the data and be able to make sound recommendations to </w:t>
            </w:r>
            <w:r w:rsidR="000F392B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drive continuous improvement.</w:t>
            </w:r>
          </w:p>
          <w:p w14:paraId="154EC8F0" w14:textId="77777777" w:rsidR="00180F0C" w:rsidRDefault="00180F0C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</w:p>
          <w:p w14:paraId="5581282A" w14:textId="7E9C1B57" w:rsidR="00180F0C" w:rsidRDefault="00180F0C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Able to enthusiastically solve problems</w:t>
            </w:r>
            <w:r w:rsidR="00214934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and the ability to create positive working relationships at all levels</w:t>
            </w:r>
            <w:r w:rsidR="0064633C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, the SHE Technician will </w:t>
            </w:r>
            <w:r w:rsidR="00774F7F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be a role model of </w:t>
            </w:r>
            <w:r w:rsidR="00E02661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>safety standards and be passionate about keeping our colleagues</w:t>
            </w:r>
            <w:r w:rsidR="00747548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and our environment,</w:t>
            </w:r>
            <w:r w:rsidR="00E02661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safe and healthy. </w:t>
            </w:r>
          </w:p>
          <w:p w14:paraId="0E096113" w14:textId="77777777" w:rsidR="002A5382" w:rsidRDefault="002A5382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</w:p>
          <w:p w14:paraId="4A21D9A5" w14:textId="48AAC4B5" w:rsidR="00227328" w:rsidRPr="00766A87" w:rsidRDefault="00227328" w:rsidP="00227328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087F13" w:rsidRPr="00B826F9" w14:paraId="09183FC0" w14:textId="77777777" w:rsidTr="00745951">
        <w:trPr>
          <w:trHeight w:val="300"/>
        </w:trPr>
        <w:tc>
          <w:tcPr>
            <w:tcW w:w="10320" w:type="dxa"/>
            <w:gridSpan w:val="2"/>
            <w:shd w:val="clear" w:color="auto" w:fill="203B24" w:themeFill="text1"/>
            <w:vAlign w:val="center"/>
          </w:tcPr>
          <w:p w14:paraId="2368DDF8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087F13" w:rsidRPr="00B826F9" w14:paraId="58475095" w14:textId="77777777" w:rsidTr="00745951">
        <w:trPr>
          <w:trHeight w:val="80"/>
        </w:trPr>
        <w:tc>
          <w:tcPr>
            <w:tcW w:w="2678" w:type="dxa"/>
            <w:shd w:val="clear" w:color="auto" w:fill="A9C2A5" w:themeFill="background2"/>
            <w:vAlign w:val="center"/>
          </w:tcPr>
          <w:p w14:paraId="02525543" w14:textId="77777777" w:rsidR="00087F13" w:rsidRPr="00B826F9" w:rsidRDefault="00087F1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2B9D9AC5" w14:textId="43474488" w:rsidR="00087F13" w:rsidRPr="00B826F9" w:rsidRDefault="00E013BC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SHE Manager</w:t>
            </w:r>
          </w:p>
        </w:tc>
      </w:tr>
      <w:tr w:rsidR="00087F13" w:rsidRPr="00B826F9" w14:paraId="5A0C9CD5" w14:textId="77777777" w:rsidTr="00745951">
        <w:trPr>
          <w:trHeight w:val="120"/>
        </w:trPr>
        <w:tc>
          <w:tcPr>
            <w:tcW w:w="2678" w:type="dxa"/>
            <w:shd w:val="clear" w:color="auto" w:fill="A9C2A5" w:themeFill="background2"/>
          </w:tcPr>
          <w:p w14:paraId="42EB4CE1" w14:textId="77777777" w:rsidR="00087F13" w:rsidRPr="00B826F9" w:rsidRDefault="00087F1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57F12B07" w14:textId="43961237" w:rsidR="00087F13" w:rsidRPr="00B826F9" w:rsidRDefault="00E013BC" w:rsidP="00B70E32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N/A</w:t>
            </w:r>
          </w:p>
        </w:tc>
      </w:tr>
      <w:tr w:rsidR="00087F13" w:rsidRPr="00B826F9" w14:paraId="27220D85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434AC987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087F13" w:rsidRPr="00B826F9" w14:paraId="44AE5D96" w14:textId="77777777" w:rsidTr="00087F13">
        <w:trPr>
          <w:trHeight w:val="416"/>
        </w:trPr>
        <w:tc>
          <w:tcPr>
            <w:tcW w:w="10320" w:type="dxa"/>
            <w:gridSpan w:val="2"/>
          </w:tcPr>
          <w:p w14:paraId="5CCDA81E" w14:textId="77777777" w:rsidR="006A4A83" w:rsidRPr="006A4A83" w:rsidRDefault="006A4A83" w:rsidP="006A4A83">
            <w:pPr>
              <w:spacing w:after="120"/>
              <w:rPr>
                <w:rFonts w:ascii="Avenir Next LT Pro" w:eastAsia="Arial" w:hAnsi="Avenir Next LT Pro" w:cs="Arial"/>
              </w:rPr>
            </w:pPr>
          </w:p>
          <w:p w14:paraId="7D004899" w14:textId="2DD4EE7B" w:rsidR="000A09A9" w:rsidRDefault="00523080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Work closely with the SHE Manager and the SHE Team to </w:t>
            </w:r>
            <w:r w:rsidR="00DD27D1">
              <w:rPr>
                <w:rFonts w:ascii="Avenir Next LT Pro" w:eastAsia="Arial" w:hAnsi="Avenir Next LT Pro" w:cs="Arial"/>
              </w:rPr>
              <w:t xml:space="preserve">deliver a consistent </w:t>
            </w:r>
            <w:r w:rsidR="009423AD">
              <w:rPr>
                <w:rFonts w:ascii="Avenir Next LT Pro" w:eastAsia="Arial" w:hAnsi="Avenir Next LT Pro" w:cs="Arial"/>
              </w:rPr>
              <w:t>approach</w:t>
            </w:r>
            <w:r w:rsidR="00DD27D1">
              <w:rPr>
                <w:rFonts w:ascii="Avenir Next LT Pro" w:eastAsia="Arial" w:hAnsi="Avenir Next LT Pro" w:cs="Arial"/>
              </w:rPr>
              <w:t xml:space="preserve"> across the site</w:t>
            </w:r>
            <w:r w:rsidR="00707F65">
              <w:rPr>
                <w:rFonts w:ascii="Avenir Next LT Pro" w:eastAsia="Arial" w:hAnsi="Avenir Next LT Pro" w:cs="Arial"/>
              </w:rPr>
              <w:t>, in line with our SHE Standards</w:t>
            </w:r>
            <w:r w:rsidR="009423AD">
              <w:rPr>
                <w:rFonts w:ascii="Avenir Next LT Pro" w:eastAsia="Arial" w:hAnsi="Avenir Next LT Pro" w:cs="Arial"/>
              </w:rPr>
              <w:t xml:space="preserve"> and Site SHE Plan.</w:t>
            </w:r>
          </w:p>
          <w:p w14:paraId="3344B6E2" w14:textId="690E1621" w:rsidR="003956E6" w:rsidRDefault="00D17922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Support in the thorough investigation </w:t>
            </w:r>
            <w:r w:rsidR="008E2AA3">
              <w:rPr>
                <w:rFonts w:ascii="Avenir Next LT Pro" w:eastAsia="Arial" w:hAnsi="Avenir Next LT Pro" w:cs="Arial"/>
              </w:rPr>
              <w:t>of accidents, near misses and hazards ensuring underlying root causes are identified.</w:t>
            </w:r>
          </w:p>
          <w:p w14:paraId="25D9DF22" w14:textId="08A52D91" w:rsidR="00A75C28" w:rsidRDefault="000B78A7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Carry out key audits and inspections as directed by the audit schedule / SHE Manager.</w:t>
            </w:r>
          </w:p>
          <w:p w14:paraId="61C4D3AB" w14:textId="2562F4D3" w:rsidR="008E2AA3" w:rsidRDefault="008E2AA3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Be able to make </w:t>
            </w:r>
            <w:r w:rsidR="004A3EB9">
              <w:rPr>
                <w:rFonts w:ascii="Avenir Next LT Pro" w:eastAsia="Arial" w:hAnsi="Avenir Next LT Pro" w:cs="Arial"/>
              </w:rPr>
              <w:t xml:space="preserve">recommendations to </w:t>
            </w:r>
            <w:r w:rsidR="00D914F4">
              <w:rPr>
                <w:rFonts w:ascii="Avenir Next LT Pro" w:eastAsia="Arial" w:hAnsi="Avenir Next LT Pro" w:cs="Arial"/>
              </w:rPr>
              <w:t>drive continuous improvements following the completion of incident</w:t>
            </w:r>
            <w:r w:rsidR="006D065F">
              <w:rPr>
                <w:rFonts w:ascii="Avenir Next LT Pro" w:eastAsia="Arial" w:hAnsi="Avenir Next LT Pro" w:cs="Arial"/>
              </w:rPr>
              <w:t xml:space="preserve"> reviews, audits and inspections.</w:t>
            </w:r>
          </w:p>
          <w:p w14:paraId="04B41013" w14:textId="028954DC" w:rsidR="006D065F" w:rsidRDefault="006D065F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Ensure action owners are aware of </w:t>
            </w:r>
            <w:r w:rsidR="004A5A7B">
              <w:rPr>
                <w:rFonts w:ascii="Avenir Next LT Pro" w:eastAsia="Arial" w:hAnsi="Avenir Next LT Pro" w:cs="Arial"/>
              </w:rPr>
              <w:t xml:space="preserve">their responsibilities and that </w:t>
            </w:r>
            <w:r w:rsidR="00E443DF">
              <w:rPr>
                <w:rFonts w:ascii="Avenir Next LT Pro" w:eastAsia="Arial" w:hAnsi="Avenir Next LT Pro" w:cs="Arial"/>
              </w:rPr>
              <w:t>they are followed up to ensure completion.</w:t>
            </w:r>
          </w:p>
          <w:p w14:paraId="4CBC3DAC" w14:textId="0085A98E" w:rsidR="00D83CD1" w:rsidRDefault="00D83CD1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Support the</w:t>
            </w:r>
            <w:r w:rsidR="00A611CC">
              <w:rPr>
                <w:rFonts w:ascii="Avenir Next LT Pro" w:eastAsia="Arial" w:hAnsi="Avenir Next LT Pro" w:cs="Arial"/>
              </w:rPr>
              <w:t xml:space="preserve"> SHE and</w:t>
            </w:r>
            <w:r>
              <w:rPr>
                <w:rFonts w:ascii="Avenir Next LT Pro" w:eastAsia="Arial" w:hAnsi="Avenir Next LT Pro" w:cs="Arial"/>
              </w:rPr>
              <w:t xml:space="preserve"> People Team with </w:t>
            </w:r>
            <w:r w:rsidR="00A611CC">
              <w:rPr>
                <w:rFonts w:ascii="Avenir Next LT Pro" w:eastAsia="Arial" w:hAnsi="Avenir Next LT Pro" w:cs="Arial"/>
              </w:rPr>
              <w:t>planning</w:t>
            </w:r>
            <w:r w:rsidR="00B82C63">
              <w:rPr>
                <w:rFonts w:ascii="Avenir Next LT Pro" w:eastAsia="Arial" w:hAnsi="Avenir Next LT Pro" w:cs="Arial"/>
              </w:rPr>
              <w:t xml:space="preserve"> and delivering SHE &amp; Wellbeing events.</w:t>
            </w:r>
          </w:p>
          <w:p w14:paraId="2D468FAC" w14:textId="3EDDAD52" w:rsidR="00B82C63" w:rsidRDefault="00B82C63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lastRenderedPageBreak/>
              <w:t xml:space="preserve">Carry out SHE improvements projects </w:t>
            </w:r>
            <w:r w:rsidR="00F936DE">
              <w:rPr>
                <w:rFonts w:ascii="Avenir Next LT Pro" w:eastAsia="Arial" w:hAnsi="Avenir Next LT Pro" w:cs="Arial"/>
              </w:rPr>
              <w:t>as directed by the SHE Manager, including further improvements of the SHE System.</w:t>
            </w:r>
          </w:p>
          <w:p w14:paraId="48102936" w14:textId="1144DA75" w:rsidR="00F936DE" w:rsidRDefault="00AC3B75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Work with the Occupational Health and People Teams to ensure health issues are </w:t>
            </w:r>
            <w:r w:rsidR="00661C3B">
              <w:rPr>
                <w:rFonts w:ascii="Avenir Next LT Pro" w:eastAsia="Arial" w:hAnsi="Avenir Next LT Pro" w:cs="Arial"/>
              </w:rPr>
              <w:t>well managed and risks are reduced.</w:t>
            </w:r>
          </w:p>
          <w:p w14:paraId="7C80C163" w14:textId="65865224" w:rsidR="00661C3B" w:rsidRDefault="00661C3B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Support the Managers with Risk Assessments and ensure the Site Risk Register </w:t>
            </w:r>
            <w:r w:rsidR="00497055">
              <w:rPr>
                <w:rFonts w:ascii="Avenir Next LT Pro" w:eastAsia="Arial" w:hAnsi="Avenir Next LT Pro" w:cs="Arial"/>
              </w:rPr>
              <w:t>is maintained.</w:t>
            </w:r>
          </w:p>
          <w:p w14:paraId="397A1DB4" w14:textId="7DC7CCA0" w:rsidR="00497055" w:rsidRDefault="005C41CD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Work closely with the Site Training Team to ensure </w:t>
            </w:r>
            <w:r w:rsidR="001275AB">
              <w:rPr>
                <w:rFonts w:ascii="Avenir Next LT Pro" w:eastAsia="Arial" w:hAnsi="Avenir Next LT Pro" w:cs="Arial"/>
              </w:rPr>
              <w:t xml:space="preserve">100% compliance of SHE </w:t>
            </w:r>
            <w:proofErr w:type="gramStart"/>
            <w:r w:rsidR="001275AB">
              <w:rPr>
                <w:rFonts w:ascii="Avenir Next LT Pro" w:eastAsia="Arial" w:hAnsi="Avenir Next LT Pro" w:cs="Arial"/>
              </w:rPr>
              <w:t>training</w:t>
            </w:r>
            <w:proofErr w:type="gramEnd"/>
            <w:r w:rsidR="001275AB">
              <w:rPr>
                <w:rFonts w:ascii="Avenir Next LT Pro" w:eastAsia="Arial" w:hAnsi="Avenir Next LT Pro" w:cs="Arial"/>
              </w:rPr>
              <w:t xml:space="preserve"> across site at all levels.</w:t>
            </w:r>
          </w:p>
          <w:p w14:paraId="3C48AD27" w14:textId="77777777" w:rsidR="009423AD" w:rsidRDefault="00B85115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Be a “critical friend” </w:t>
            </w:r>
            <w:r w:rsidR="00570758">
              <w:rPr>
                <w:rFonts w:ascii="Avenir Next LT Pro" w:eastAsia="Arial" w:hAnsi="Avenir Next LT Pro" w:cs="Arial"/>
              </w:rPr>
              <w:t>to managers and supervisors across the site</w:t>
            </w:r>
            <w:r w:rsidR="003956E6">
              <w:rPr>
                <w:rFonts w:ascii="Avenir Next LT Pro" w:eastAsia="Arial" w:hAnsi="Avenir Next LT Pro" w:cs="Arial"/>
              </w:rPr>
              <w:t xml:space="preserve">, ensuring they are aware of </w:t>
            </w:r>
            <w:proofErr w:type="gramStart"/>
            <w:r w:rsidR="003956E6">
              <w:rPr>
                <w:rFonts w:ascii="Avenir Next LT Pro" w:eastAsia="Arial" w:hAnsi="Avenir Next LT Pro" w:cs="Arial"/>
              </w:rPr>
              <w:t>their</w:t>
            </w:r>
            <w:proofErr w:type="gramEnd"/>
            <w:r w:rsidR="003956E6">
              <w:rPr>
                <w:rFonts w:ascii="Avenir Next LT Pro" w:eastAsia="Arial" w:hAnsi="Avenir Next LT Pro" w:cs="Arial"/>
              </w:rPr>
              <w:t xml:space="preserve"> SHE responsibilities.</w:t>
            </w:r>
          </w:p>
          <w:p w14:paraId="7A059EEA" w14:textId="150DA377" w:rsidR="006A4A83" w:rsidRPr="006A4A83" w:rsidRDefault="006A4A83" w:rsidP="006A4A83">
            <w:pPr>
              <w:spacing w:after="120"/>
              <w:rPr>
                <w:rFonts w:ascii="Avenir Next LT Pro" w:eastAsia="Arial" w:hAnsi="Avenir Next LT Pro" w:cs="Arial"/>
              </w:rPr>
            </w:pPr>
          </w:p>
        </w:tc>
      </w:tr>
      <w:tr w:rsidR="00087F13" w:rsidRPr="00B826F9" w14:paraId="3E0E6D89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70491097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087F13" w:rsidRPr="00B826F9" w14:paraId="7A2336DB" w14:textId="77777777" w:rsidTr="00087F13">
        <w:tc>
          <w:tcPr>
            <w:tcW w:w="10320" w:type="dxa"/>
            <w:gridSpan w:val="2"/>
          </w:tcPr>
          <w:p w14:paraId="517D4181" w14:textId="77777777" w:rsidR="006A4A83" w:rsidRPr="006A4A83" w:rsidRDefault="006A4A83" w:rsidP="006A4A83">
            <w:pPr>
              <w:spacing w:after="120"/>
              <w:rPr>
                <w:rFonts w:ascii="Avenir Next LT Pro" w:eastAsia="Arial" w:hAnsi="Avenir Next LT Pro" w:cs="Arial"/>
              </w:rPr>
            </w:pPr>
          </w:p>
          <w:p w14:paraId="7051FF72" w14:textId="25413439" w:rsidR="00F47DC2" w:rsidRDefault="009A1ADB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Will have experience and understanding of </w:t>
            </w:r>
            <w:r w:rsidR="007F53BD">
              <w:rPr>
                <w:rFonts w:ascii="Avenir Next LT Pro" w:eastAsia="Arial" w:hAnsi="Avenir Next LT Pro" w:cs="Arial"/>
              </w:rPr>
              <w:t xml:space="preserve">key </w:t>
            </w:r>
            <w:r w:rsidR="00143A90">
              <w:rPr>
                <w:rFonts w:ascii="Avenir Next LT Pro" w:eastAsia="Arial" w:hAnsi="Avenir Next LT Pro" w:cs="Arial"/>
              </w:rPr>
              <w:t>hazards associated with the Food &amp; Drinks manufacturing industr</w:t>
            </w:r>
            <w:r w:rsidR="00A347B6">
              <w:rPr>
                <w:rFonts w:ascii="Avenir Next LT Pro" w:eastAsia="Arial" w:hAnsi="Avenir Next LT Pro" w:cs="Arial"/>
              </w:rPr>
              <w:t>y</w:t>
            </w:r>
            <w:r w:rsidR="00D05AF3">
              <w:rPr>
                <w:rFonts w:ascii="Avenir Next LT Pro" w:eastAsia="Arial" w:hAnsi="Avenir Next LT Pro" w:cs="Arial"/>
              </w:rPr>
              <w:t xml:space="preserve">, particularly </w:t>
            </w:r>
            <w:r w:rsidR="00316083">
              <w:rPr>
                <w:rFonts w:ascii="Avenir Next LT Pro" w:eastAsia="Arial" w:hAnsi="Avenir Next LT Pro" w:cs="Arial"/>
              </w:rPr>
              <w:t>machinery, chemicals, racking and workplace transport.</w:t>
            </w:r>
          </w:p>
          <w:p w14:paraId="249B03EE" w14:textId="248FBA85" w:rsidR="00316083" w:rsidRDefault="00D57E08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A general understanding of regulatory requirements </w:t>
            </w:r>
            <w:r w:rsidR="00CA6B50">
              <w:rPr>
                <w:rFonts w:ascii="Avenir Next LT Pro" w:eastAsia="Arial" w:hAnsi="Avenir Next LT Pro" w:cs="Arial"/>
              </w:rPr>
              <w:t xml:space="preserve">of </w:t>
            </w:r>
            <w:r w:rsidR="00917C03">
              <w:rPr>
                <w:rFonts w:ascii="Avenir Next LT Pro" w:eastAsia="Arial" w:hAnsi="Avenir Next LT Pro" w:cs="Arial"/>
              </w:rPr>
              <w:t xml:space="preserve">HSWA, MHSWR, </w:t>
            </w:r>
            <w:r w:rsidR="00CA6B50">
              <w:rPr>
                <w:rFonts w:ascii="Avenir Next LT Pro" w:eastAsia="Arial" w:hAnsi="Avenir Next LT Pro" w:cs="Arial"/>
              </w:rPr>
              <w:t xml:space="preserve">PUWER, COSHH, Fire </w:t>
            </w:r>
            <w:proofErr w:type="gramStart"/>
            <w:r w:rsidR="00230E67">
              <w:rPr>
                <w:rFonts w:ascii="Avenir Next LT Pro" w:eastAsia="Arial" w:hAnsi="Avenir Next LT Pro" w:cs="Arial"/>
              </w:rPr>
              <w:t>etc..</w:t>
            </w:r>
            <w:proofErr w:type="gramEnd"/>
            <w:r w:rsidR="00230E67">
              <w:rPr>
                <w:rFonts w:ascii="Avenir Next LT Pro" w:eastAsia="Arial" w:hAnsi="Avenir Next LT Pro" w:cs="Arial"/>
              </w:rPr>
              <w:t xml:space="preserve"> </w:t>
            </w:r>
          </w:p>
          <w:p w14:paraId="67F0FA92" w14:textId="1B2A6D63" w:rsidR="00A356F7" w:rsidRDefault="006210F6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Recognises the importance of taking p</w:t>
            </w:r>
            <w:r w:rsidR="00B853B1">
              <w:rPr>
                <w:rFonts w:ascii="Avenir Next LT Pro" w:eastAsia="Arial" w:hAnsi="Avenir Next LT Pro" w:cs="Arial"/>
              </w:rPr>
              <w:t>ersonally responsible</w:t>
            </w:r>
            <w:r w:rsidR="004762E1">
              <w:rPr>
                <w:rFonts w:ascii="Avenir Next LT Pro" w:eastAsia="Arial" w:hAnsi="Avenir Next LT Pro" w:cs="Arial"/>
              </w:rPr>
              <w:t xml:space="preserve"> for keeping an up-to-date CPD</w:t>
            </w:r>
            <w:r w:rsidR="008D746A">
              <w:rPr>
                <w:rFonts w:ascii="Avenir Next LT Pro" w:eastAsia="Arial" w:hAnsi="Avenir Next LT Pro" w:cs="Arial"/>
              </w:rPr>
              <w:t xml:space="preserve"> with a professional body (such as IOSH)</w:t>
            </w:r>
            <w:r w:rsidR="00B853B1">
              <w:rPr>
                <w:rFonts w:ascii="Avenir Next LT Pro" w:eastAsia="Arial" w:hAnsi="Avenir Next LT Pro" w:cs="Arial"/>
              </w:rPr>
              <w:t xml:space="preserve"> and d</w:t>
            </w:r>
            <w:r w:rsidR="00623A5A">
              <w:rPr>
                <w:rFonts w:ascii="Avenir Next LT Pro" w:eastAsia="Arial" w:hAnsi="Avenir Next LT Pro" w:cs="Arial"/>
              </w:rPr>
              <w:t>esire</w:t>
            </w:r>
            <w:r w:rsidR="00B853B1">
              <w:rPr>
                <w:rFonts w:ascii="Avenir Next LT Pro" w:eastAsia="Arial" w:hAnsi="Avenir Next LT Pro" w:cs="Arial"/>
              </w:rPr>
              <w:t xml:space="preserve"> </w:t>
            </w:r>
            <w:r w:rsidR="004762E1">
              <w:rPr>
                <w:rFonts w:ascii="Avenir Next LT Pro" w:eastAsia="Arial" w:hAnsi="Avenir Next LT Pro" w:cs="Arial"/>
              </w:rPr>
              <w:t>to grow</w:t>
            </w:r>
            <w:r w:rsidR="008D746A">
              <w:rPr>
                <w:rFonts w:ascii="Avenir Next LT Pro" w:eastAsia="Arial" w:hAnsi="Avenir Next LT Pro" w:cs="Arial"/>
              </w:rPr>
              <w:t xml:space="preserve"> </w:t>
            </w:r>
            <w:r w:rsidR="00C9681E">
              <w:rPr>
                <w:rFonts w:ascii="Avenir Next LT Pro" w:eastAsia="Arial" w:hAnsi="Avenir Next LT Pro" w:cs="Arial"/>
              </w:rPr>
              <w:t>within their role.</w:t>
            </w:r>
          </w:p>
          <w:p w14:paraId="7B304C96" w14:textId="58393DA4" w:rsidR="000A08BC" w:rsidRDefault="000A08BC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Working knowledge of </w:t>
            </w:r>
            <w:r w:rsidR="00F52899">
              <w:rPr>
                <w:rFonts w:ascii="Avenir Next LT Pro" w:eastAsia="Arial" w:hAnsi="Avenir Next LT Pro" w:cs="Arial"/>
              </w:rPr>
              <w:t xml:space="preserve">the hierarchy of control through robust risk assessment and </w:t>
            </w:r>
            <w:r w:rsidR="0098172B">
              <w:rPr>
                <w:rFonts w:ascii="Avenir Next LT Pro" w:eastAsia="Arial" w:hAnsi="Avenir Next LT Pro" w:cs="Arial"/>
              </w:rPr>
              <w:t xml:space="preserve">a </w:t>
            </w:r>
            <w:r w:rsidR="00F52899">
              <w:rPr>
                <w:rFonts w:ascii="Avenir Next LT Pro" w:eastAsia="Arial" w:hAnsi="Avenir Next LT Pro" w:cs="Arial"/>
              </w:rPr>
              <w:t>general understanding of the principle</w:t>
            </w:r>
            <w:r w:rsidR="00A85822">
              <w:rPr>
                <w:rFonts w:ascii="Avenir Next LT Pro" w:eastAsia="Arial" w:hAnsi="Avenir Next LT Pro" w:cs="Arial"/>
              </w:rPr>
              <w:t>s</w:t>
            </w:r>
            <w:r w:rsidR="00F52899">
              <w:rPr>
                <w:rFonts w:ascii="Avenir Next LT Pro" w:eastAsia="Arial" w:hAnsi="Avenir Next LT Pro" w:cs="Arial"/>
              </w:rPr>
              <w:t xml:space="preserve"> of prevention. </w:t>
            </w:r>
          </w:p>
          <w:p w14:paraId="3351888D" w14:textId="34A51DF6" w:rsidR="00B64061" w:rsidRDefault="00B64061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Familiar with contractor control</w:t>
            </w:r>
            <w:r w:rsidR="00366610">
              <w:rPr>
                <w:rFonts w:ascii="Avenir Next LT Pro" w:eastAsia="Arial" w:hAnsi="Avenir Next LT Pro" w:cs="Arial"/>
              </w:rPr>
              <w:t xml:space="preserve">, </w:t>
            </w:r>
            <w:r>
              <w:rPr>
                <w:rFonts w:ascii="Avenir Next LT Pro" w:eastAsia="Arial" w:hAnsi="Avenir Next LT Pro" w:cs="Arial"/>
              </w:rPr>
              <w:t>Permit-To-work processes</w:t>
            </w:r>
            <w:r w:rsidR="00366610">
              <w:rPr>
                <w:rFonts w:ascii="Avenir Next LT Pro" w:eastAsia="Arial" w:hAnsi="Avenir Next LT Pro" w:cs="Arial"/>
              </w:rPr>
              <w:t xml:space="preserve"> and able to constructively critique basic RAMS documents. </w:t>
            </w:r>
          </w:p>
          <w:p w14:paraId="468DF32C" w14:textId="76FCDEA7" w:rsidR="00C9681E" w:rsidRDefault="00DE359C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Able to work with people of all abilities and backgrounds</w:t>
            </w:r>
            <w:r w:rsidR="00AA43C8">
              <w:rPr>
                <w:rFonts w:ascii="Avenir Next LT Pro" w:eastAsia="Arial" w:hAnsi="Avenir Next LT Pro" w:cs="Arial"/>
              </w:rPr>
              <w:t xml:space="preserve">, to implement change as part of a team. </w:t>
            </w:r>
          </w:p>
          <w:p w14:paraId="5B2BAF8A" w14:textId="60319AB3" w:rsidR="005E7B75" w:rsidRDefault="0090732F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Experience in analysing and manipulating data from </w:t>
            </w:r>
            <w:proofErr w:type="spellStart"/>
            <w:r>
              <w:rPr>
                <w:rFonts w:ascii="Avenir Next LT Pro" w:eastAsia="Arial" w:hAnsi="Avenir Next LT Pro" w:cs="Arial"/>
              </w:rPr>
              <w:t>PowerBI</w:t>
            </w:r>
            <w:proofErr w:type="spellEnd"/>
            <w:r>
              <w:rPr>
                <w:rFonts w:ascii="Avenir Next LT Pro" w:eastAsia="Arial" w:hAnsi="Avenir Next LT Pro" w:cs="Arial"/>
              </w:rPr>
              <w:t xml:space="preserve"> reports</w:t>
            </w:r>
            <w:r w:rsidR="008F62BC">
              <w:rPr>
                <w:rFonts w:ascii="Avenir Next LT Pro" w:eastAsia="Arial" w:hAnsi="Avenir Next LT Pro" w:cs="Arial"/>
              </w:rPr>
              <w:t xml:space="preserve"> and </w:t>
            </w:r>
            <w:r w:rsidR="001B5C82">
              <w:rPr>
                <w:rFonts w:ascii="Avenir Next LT Pro" w:eastAsia="Arial" w:hAnsi="Avenir Next LT Pro" w:cs="Arial"/>
              </w:rPr>
              <w:t xml:space="preserve">communicating that to the SHE Manager and wider management team were trends are identified. </w:t>
            </w:r>
          </w:p>
          <w:p w14:paraId="3ABF4CEC" w14:textId="620D92F2" w:rsidR="00606445" w:rsidRDefault="00606445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Able to </w:t>
            </w:r>
            <w:r w:rsidR="000C0B00">
              <w:rPr>
                <w:rFonts w:ascii="Avenir Next LT Pro" w:eastAsia="Arial" w:hAnsi="Avenir Next LT Pro" w:cs="Arial"/>
              </w:rPr>
              <w:t xml:space="preserve">prioritise </w:t>
            </w:r>
            <w:r w:rsidR="00770D72">
              <w:rPr>
                <w:rFonts w:ascii="Avenir Next LT Pro" w:eastAsia="Arial" w:hAnsi="Avenir Next LT Pro" w:cs="Arial"/>
              </w:rPr>
              <w:t>and man</w:t>
            </w:r>
            <w:r w:rsidR="00B04CBF">
              <w:rPr>
                <w:rFonts w:ascii="Avenir Next LT Pro" w:eastAsia="Arial" w:hAnsi="Avenir Next LT Pro" w:cs="Arial"/>
              </w:rPr>
              <w:t xml:space="preserve">age own workload, ensuring deadlines are met and able to escalate </w:t>
            </w:r>
            <w:r w:rsidR="00120921">
              <w:rPr>
                <w:rFonts w:ascii="Avenir Next LT Pro" w:eastAsia="Arial" w:hAnsi="Avenir Next LT Pro" w:cs="Arial"/>
              </w:rPr>
              <w:t xml:space="preserve">where required. </w:t>
            </w:r>
          </w:p>
          <w:p w14:paraId="255E3F11" w14:textId="77777777" w:rsidR="000A09A9" w:rsidRDefault="00214B32" w:rsidP="006A4A83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Aware of own competence and capabilities, knowing </w:t>
            </w:r>
            <w:r w:rsidR="007239FC">
              <w:rPr>
                <w:rFonts w:ascii="Avenir Next LT Pro" w:eastAsia="Arial" w:hAnsi="Avenir Next LT Pro" w:cs="Arial"/>
              </w:rPr>
              <w:t>when to ask for help</w:t>
            </w:r>
            <w:r w:rsidR="00695587">
              <w:rPr>
                <w:rFonts w:ascii="Avenir Next LT Pro" w:eastAsia="Arial" w:hAnsi="Avenir Next LT Pro" w:cs="Arial"/>
              </w:rPr>
              <w:t xml:space="preserve"> and </w:t>
            </w:r>
            <w:r w:rsidR="000C007D">
              <w:rPr>
                <w:rFonts w:ascii="Avenir Next LT Pro" w:eastAsia="Arial" w:hAnsi="Avenir Next LT Pro" w:cs="Arial"/>
              </w:rPr>
              <w:t xml:space="preserve">able to learn through experience. </w:t>
            </w:r>
          </w:p>
          <w:p w14:paraId="44A3F126" w14:textId="29EBA2B4" w:rsidR="00146E58" w:rsidRDefault="00146E58" w:rsidP="006A4A83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 xml:space="preserve">Understands how to maintain </w:t>
            </w:r>
            <w:r w:rsidR="000578A0">
              <w:rPr>
                <w:rFonts w:ascii="Avenir Next LT Pro" w:eastAsia="Arial" w:hAnsi="Avenir Next LT Pro" w:cs="Arial"/>
              </w:rPr>
              <w:t>stakeholder relationships and works</w:t>
            </w:r>
            <w:r w:rsidR="00AB5D2D">
              <w:rPr>
                <w:rFonts w:ascii="Avenir Next LT Pro" w:eastAsia="Arial" w:hAnsi="Avenir Next LT Pro" w:cs="Arial"/>
              </w:rPr>
              <w:t xml:space="preserve"> to support &amp; guide</w:t>
            </w:r>
            <w:r w:rsidR="00824F7D">
              <w:rPr>
                <w:rFonts w:ascii="Avenir Next LT Pro" w:eastAsia="Arial" w:hAnsi="Avenir Next LT Pro" w:cs="Arial"/>
              </w:rPr>
              <w:t>,</w:t>
            </w:r>
            <w:r w:rsidR="00AB5D2D">
              <w:rPr>
                <w:rFonts w:ascii="Avenir Next LT Pro" w:eastAsia="Arial" w:hAnsi="Avenir Next LT Pro" w:cs="Arial"/>
              </w:rPr>
              <w:t xml:space="preserve"> </w:t>
            </w:r>
            <w:proofErr w:type="spellStart"/>
            <w:r w:rsidR="00AB5D2D">
              <w:rPr>
                <w:rFonts w:ascii="Avenir Next LT Pro" w:eastAsia="Arial" w:hAnsi="Avenir Next LT Pro" w:cs="Arial"/>
              </w:rPr>
              <w:t>over do</w:t>
            </w:r>
            <w:proofErr w:type="spellEnd"/>
            <w:r w:rsidR="00AB5D2D">
              <w:rPr>
                <w:rFonts w:ascii="Avenir Next LT Pro" w:eastAsia="Arial" w:hAnsi="Avenir Next LT Pro" w:cs="Arial"/>
              </w:rPr>
              <w:t xml:space="preserve"> &amp; tell. </w:t>
            </w:r>
          </w:p>
          <w:p w14:paraId="38F3C040" w14:textId="5D7ED6CC" w:rsidR="006A4A83" w:rsidRPr="006A4A83" w:rsidRDefault="006A4A83" w:rsidP="006A4A83">
            <w:pPr>
              <w:spacing w:after="120"/>
              <w:rPr>
                <w:rFonts w:ascii="Avenir Next LT Pro" w:eastAsia="Arial" w:hAnsi="Avenir Next LT Pro" w:cs="Arial"/>
              </w:rPr>
            </w:pPr>
          </w:p>
        </w:tc>
      </w:tr>
      <w:tr w:rsidR="00087F13" w:rsidRPr="00B826F9" w14:paraId="750AEC96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33FC6712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t>QUALIFICATIONS, EXPERIENCE, TECHNICAL SKILLS / KNOWLEDGE</w:t>
            </w:r>
          </w:p>
        </w:tc>
      </w:tr>
      <w:tr w:rsidR="00087F13" w:rsidRPr="00B826F9" w14:paraId="25DE9937" w14:textId="77777777" w:rsidTr="00087F13">
        <w:trPr>
          <w:trHeight w:val="1017"/>
        </w:trPr>
        <w:tc>
          <w:tcPr>
            <w:tcW w:w="10320" w:type="dxa"/>
            <w:gridSpan w:val="2"/>
          </w:tcPr>
          <w:p w14:paraId="6CA41164" w14:textId="77777777" w:rsidR="004C797A" w:rsidRDefault="004C797A" w:rsidP="004C79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2263AD3C" w14:textId="3EFDA365" w:rsidR="006937DB" w:rsidRPr="001105B9" w:rsidRDefault="006937DB" w:rsidP="004C797A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1105B9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 xml:space="preserve">Essential </w:t>
            </w:r>
          </w:p>
          <w:p w14:paraId="55725488" w14:textId="1363AD1B" w:rsidR="00CF56A2" w:rsidRDefault="00CF56A2" w:rsidP="004C79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NEBOSH General Certificate</w:t>
            </w:r>
            <w:r w:rsidR="00064913">
              <w:rPr>
                <w:rFonts w:ascii="Avenir Next LT Pro" w:eastAsia="Arial" w:hAnsi="Avenir Next LT Pro" w:cs="Arial"/>
                <w:sz w:val="22"/>
                <w:szCs w:val="22"/>
              </w:rPr>
              <w:t xml:space="preserve"> (or equivalent) </w:t>
            </w:r>
          </w:p>
          <w:p w14:paraId="514925C2" w14:textId="1061EBB0" w:rsidR="00064913" w:rsidRDefault="00A817D7" w:rsidP="004C79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Associate or Technical Member of IOSH</w:t>
            </w:r>
            <w:r w:rsidR="00AF1134">
              <w:rPr>
                <w:rFonts w:ascii="Avenir Next LT Pro" w:eastAsia="Arial" w:hAnsi="Avenir Next LT Pro" w:cs="Arial"/>
                <w:sz w:val="22"/>
                <w:szCs w:val="22"/>
              </w:rPr>
              <w:t xml:space="preserve"> (or working towards)</w:t>
            </w:r>
          </w:p>
          <w:p w14:paraId="41981D25" w14:textId="6AA70729" w:rsidR="00AF1134" w:rsidRDefault="00AF1134" w:rsidP="004C797A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Proficient in Microsoft 365 </w:t>
            </w:r>
            <w:r w:rsidR="001105B9">
              <w:rPr>
                <w:rFonts w:ascii="Avenir Next LT Pro" w:eastAsia="Arial" w:hAnsi="Avenir Next LT Pro" w:cs="Arial"/>
                <w:sz w:val="22"/>
                <w:szCs w:val="22"/>
              </w:rPr>
              <w:t>packages</w:t>
            </w:r>
          </w:p>
          <w:p w14:paraId="0E8D83DC" w14:textId="77777777" w:rsidR="001105B9" w:rsidRDefault="001105B9" w:rsidP="004C797A">
            <w:pPr>
              <w:rPr>
                <w:rFonts w:ascii="Avenir Next LT Pro" w:eastAsia="Arial" w:hAnsi="Avenir Next LT Pro" w:cs="Arial"/>
                <w:b/>
                <w:u w:val="single"/>
              </w:rPr>
            </w:pPr>
          </w:p>
          <w:p w14:paraId="69C59A7A" w14:textId="38E074BB" w:rsidR="00846BD5" w:rsidRDefault="00846BD5" w:rsidP="004C797A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846BD5">
              <w:rPr>
                <w:rFonts w:ascii="Avenir Next LT Pro" w:eastAsia="Arial" w:hAnsi="Avenir Next LT Pro" w:cs="Arial"/>
                <w:b/>
                <w:sz w:val="22"/>
                <w:szCs w:val="22"/>
              </w:rPr>
              <w:t xml:space="preserve">Desirable </w:t>
            </w:r>
          </w:p>
          <w:p w14:paraId="29C68F2D" w14:textId="4D5C29AB" w:rsidR="00846BD5" w:rsidRDefault="00796AB1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NEBOSH Environment</w:t>
            </w:r>
            <w:r w:rsidR="004A149A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al Management Certificate</w:t>
            </w:r>
            <w:r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 xml:space="preserve"> / IEMA </w:t>
            </w:r>
            <w:r w:rsidR="004A149A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Environmental Management</w:t>
            </w:r>
            <w:r w:rsidR="00AD57BD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 xml:space="preserve"> Certificate</w:t>
            </w:r>
          </w:p>
          <w:p w14:paraId="0CFC5275" w14:textId="4BFE4DFB" w:rsidR="00AD57BD" w:rsidRDefault="00AD57BD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IEMA Membership</w:t>
            </w:r>
          </w:p>
          <w:p w14:paraId="566269EB" w14:textId="73560B55" w:rsidR="00AD57BD" w:rsidRDefault="00E77A6F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 xml:space="preserve">Experience in </w:t>
            </w:r>
            <w:r w:rsidR="00F656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the Food &amp; Drinks Industry</w:t>
            </w:r>
            <w:r w:rsidR="00AF3E00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 xml:space="preserve"> (1-2 years)</w:t>
            </w:r>
          </w:p>
          <w:p w14:paraId="5747E4F0" w14:textId="344E21B1" w:rsidR="00AF3E00" w:rsidRDefault="00AF3E00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Cs/>
                <w:sz w:val="22"/>
                <w:szCs w:val="22"/>
              </w:rPr>
              <w:lastRenderedPageBreak/>
              <w:t>Manufacturing / Transport / Warehousing experience</w:t>
            </w:r>
          </w:p>
          <w:p w14:paraId="4963408F" w14:textId="22AE8F3F" w:rsidR="00497055" w:rsidRPr="00846BD5" w:rsidRDefault="00497055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ISO 1400</w:t>
            </w:r>
            <w:r w:rsidR="00070EF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1</w:t>
            </w:r>
            <w:r w:rsidR="000C122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 xml:space="preserve"> / </w:t>
            </w:r>
            <w:r w:rsidR="00E8215D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45001 / 9001</w:t>
            </w:r>
          </w:p>
          <w:p w14:paraId="582F33AF" w14:textId="535DD904" w:rsidR="00F47DC2" w:rsidRPr="00F47DC2" w:rsidRDefault="00F47DC2" w:rsidP="00F47DC2">
            <w:pPr>
              <w:ind w:left="360"/>
              <w:rPr>
                <w:rFonts w:ascii="Avenir Next LT Pro" w:eastAsia="Arial" w:hAnsi="Avenir Next LT Pro" w:cs="Arial"/>
                <w:b/>
                <w:u w:val="single"/>
              </w:rPr>
            </w:pPr>
          </w:p>
        </w:tc>
      </w:tr>
      <w:tr w:rsidR="00087F13" w:rsidRPr="00B826F9" w14:paraId="4C4B6DD9" w14:textId="77777777" w:rsidTr="00745951">
        <w:trPr>
          <w:trHeight w:val="200"/>
        </w:trPr>
        <w:tc>
          <w:tcPr>
            <w:tcW w:w="10320" w:type="dxa"/>
            <w:gridSpan w:val="2"/>
            <w:shd w:val="clear" w:color="auto" w:fill="203B24" w:themeFill="text1"/>
          </w:tcPr>
          <w:p w14:paraId="67A8A83F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lastRenderedPageBreak/>
              <w:t>CORE COMPETENCIES, ATTRIBUTES &amp; BEHAVIOURS FOR SUCCESS</w:t>
            </w:r>
          </w:p>
        </w:tc>
      </w:tr>
      <w:tr w:rsidR="00087F13" w:rsidRPr="00B826F9" w14:paraId="3BCC3A20" w14:textId="77777777" w:rsidTr="00087F13">
        <w:trPr>
          <w:trHeight w:val="360"/>
        </w:trPr>
        <w:tc>
          <w:tcPr>
            <w:tcW w:w="2678" w:type="dxa"/>
          </w:tcPr>
          <w:p w14:paraId="04C20C6E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23638F56" w14:textId="77777777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3D7E92A3" w14:textId="77777777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087F13" w:rsidRPr="00CA2497" w14:paraId="25CFE2D4" w14:textId="77777777" w:rsidTr="00087F13">
        <w:trPr>
          <w:trHeight w:val="671"/>
        </w:trPr>
        <w:tc>
          <w:tcPr>
            <w:tcW w:w="2678" w:type="dxa"/>
          </w:tcPr>
          <w:p w14:paraId="24DEBF55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</w:tcPr>
          <w:p w14:paraId="105EF454" w14:textId="77777777" w:rsidR="00087F13" w:rsidRPr="00CA2497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087F13" w:rsidRPr="00B826F9" w14:paraId="2A1AA35A" w14:textId="77777777" w:rsidTr="00087F13">
        <w:trPr>
          <w:trHeight w:val="671"/>
        </w:trPr>
        <w:tc>
          <w:tcPr>
            <w:tcW w:w="2678" w:type="dxa"/>
          </w:tcPr>
          <w:p w14:paraId="333DAE37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60514D98" w14:textId="77777777" w:rsidR="00087F13" w:rsidRPr="00B826F9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087F13" w:rsidRPr="00B826F9" w14:paraId="1B506FB4" w14:textId="77777777" w:rsidTr="00087F13">
        <w:trPr>
          <w:trHeight w:val="671"/>
        </w:trPr>
        <w:tc>
          <w:tcPr>
            <w:tcW w:w="2678" w:type="dxa"/>
          </w:tcPr>
          <w:p w14:paraId="5AF97315" w14:textId="77777777" w:rsidR="00087F13" w:rsidRDefault="00087F1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2EC0E018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3861CF09" w14:textId="03E30B81" w:rsidR="00087F13" w:rsidRPr="00B826F9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The willingness to act as part of a team and work towards achieving shared objectives through adopting best practice in line with our Purpose Statement and </w:t>
            </w:r>
            <w:r w:rsidR="00766A87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Samworth Brothers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 Values.</w:t>
            </w:r>
          </w:p>
        </w:tc>
      </w:tr>
      <w:tr w:rsidR="00087F13" w:rsidRPr="00B826F9" w14:paraId="4DC1342D" w14:textId="77777777" w:rsidTr="00087F13">
        <w:trPr>
          <w:trHeight w:val="671"/>
        </w:trPr>
        <w:tc>
          <w:tcPr>
            <w:tcW w:w="2678" w:type="dxa"/>
          </w:tcPr>
          <w:p w14:paraId="77DA0149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017056DE" w14:textId="77777777" w:rsidR="00087F13" w:rsidRPr="00B826F9" w:rsidRDefault="00087F13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087F13" w:rsidRPr="00B826F9" w14:paraId="6797C880" w14:textId="77777777" w:rsidTr="00087F13">
        <w:trPr>
          <w:trHeight w:val="671"/>
        </w:trPr>
        <w:tc>
          <w:tcPr>
            <w:tcW w:w="2678" w:type="dxa"/>
          </w:tcPr>
          <w:p w14:paraId="07FB7EAA" w14:textId="77777777" w:rsidR="00087F13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5636F64E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1593F12B" w14:textId="427EF6EB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with our Purpose Statement and </w:t>
            </w:r>
            <w:r w:rsidR="00766A87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Samworth Brothers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 Values.</w:t>
            </w:r>
          </w:p>
        </w:tc>
      </w:tr>
      <w:tr w:rsidR="00087F13" w:rsidRPr="00B826F9" w14:paraId="510131AB" w14:textId="77777777" w:rsidTr="00087F13">
        <w:trPr>
          <w:trHeight w:val="671"/>
        </w:trPr>
        <w:tc>
          <w:tcPr>
            <w:tcW w:w="2678" w:type="dxa"/>
          </w:tcPr>
          <w:p w14:paraId="4C5B78B0" w14:textId="3AE53C3B" w:rsidR="00087F13" w:rsidRPr="00B826F9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</w:tcPr>
          <w:p w14:paraId="6C31E3E8" w14:textId="5FD3BCDC" w:rsidR="00087F13" w:rsidRPr="00B826F9" w:rsidRDefault="00087F13" w:rsidP="00087F13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i/>
                <w:iCs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087F13" w:rsidRPr="00B826F9" w14:paraId="5F52797B" w14:textId="77777777" w:rsidTr="00087F13">
        <w:trPr>
          <w:trHeight w:val="671"/>
        </w:trPr>
        <w:tc>
          <w:tcPr>
            <w:tcW w:w="2678" w:type="dxa"/>
          </w:tcPr>
          <w:p w14:paraId="523591A7" w14:textId="01985AF0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</w:tcPr>
          <w:p w14:paraId="6C2194B3" w14:textId="391A8159" w:rsidR="00087F13" w:rsidRPr="00087F13" w:rsidRDefault="00087F13" w:rsidP="00087F1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szCs w:val="22"/>
              </w:rPr>
              <w:t>Effectively manages resources and cost drivers to achieve sustainable productivity and profitability.</w:t>
            </w:r>
          </w:p>
        </w:tc>
      </w:tr>
      <w:tr w:rsidR="00087F13" w:rsidRPr="00B826F9" w14:paraId="2C340B4A" w14:textId="77777777" w:rsidTr="00087F13">
        <w:trPr>
          <w:trHeight w:val="671"/>
        </w:trPr>
        <w:tc>
          <w:tcPr>
            <w:tcW w:w="2678" w:type="dxa"/>
          </w:tcPr>
          <w:p w14:paraId="61C5BB2F" w14:textId="14A82860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</w:tcPr>
          <w:p w14:paraId="79AAE585" w14:textId="5D79D02A" w:rsidR="00087F13" w:rsidRPr="00087F13" w:rsidRDefault="00087F13" w:rsidP="00087F1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color w:val="auto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087F13" w:rsidRPr="00B826F9" w14:paraId="6CEF15C3" w14:textId="77777777" w:rsidTr="00087F13">
        <w:trPr>
          <w:trHeight w:val="671"/>
        </w:trPr>
        <w:tc>
          <w:tcPr>
            <w:tcW w:w="2678" w:type="dxa"/>
          </w:tcPr>
          <w:p w14:paraId="163A9458" w14:textId="30D59C93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4"/>
              </w:rPr>
              <w:t>Self-Management</w:t>
            </w:r>
          </w:p>
        </w:tc>
        <w:tc>
          <w:tcPr>
            <w:tcW w:w="7642" w:type="dxa"/>
          </w:tcPr>
          <w:p w14:paraId="6059B7DA" w14:textId="700A3E19" w:rsidR="00087F13" w:rsidRPr="00087F13" w:rsidRDefault="00087F13" w:rsidP="00087F1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color w:val="auto"/>
                <w:szCs w:val="22"/>
              </w:rPr>
              <w:t>Uses a combination of feedback and reflection to gain insight into personal strengths and weaknesses, so that own time, priorities,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78BA" w14:textId="77777777" w:rsidR="00B463B0" w:rsidRDefault="00B463B0">
      <w:r>
        <w:separator/>
      </w:r>
    </w:p>
  </w:endnote>
  <w:endnote w:type="continuationSeparator" w:id="0">
    <w:p w14:paraId="03C6253D" w14:textId="77777777" w:rsidR="00B463B0" w:rsidRDefault="00B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D52A" w14:textId="77777777" w:rsidR="00B463B0" w:rsidRDefault="00B463B0">
      <w:r>
        <w:separator/>
      </w:r>
    </w:p>
  </w:footnote>
  <w:footnote w:type="continuationSeparator" w:id="0">
    <w:p w14:paraId="545DD923" w14:textId="77777777" w:rsidR="00B463B0" w:rsidRDefault="00B4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594"/>
    <w:multiLevelType w:val="hybridMultilevel"/>
    <w:tmpl w:val="FAD0C36C"/>
    <w:lvl w:ilvl="0" w:tplc="F0D4A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24B2"/>
    <w:multiLevelType w:val="multilevel"/>
    <w:tmpl w:val="15B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1FE3E48"/>
    <w:multiLevelType w:val="multilevel"/>
    <w:tmpl w:val="406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0067C"/>
    <w:multiLevelType w:val="hybridMultilevel"/>
    <w:tmpl w:val="D738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EE6A4C"/>
    <w:multiLevelType w:val="hybridMultilevel"/>
    <w:tmpl w:val="5F0A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17828"/>
    <w:multiLevelType w:val="multilevel"/>
    <w:tmpl w:val="D01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45D90"/>
    <w:multiLevelType w:val="multilevel"/>
    <w:tmpl w:val="511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12"/>
  </w:num>
  <w:num w:numId="4" w16cid:durableId="1020664649">
    <w:abstractNumId w:val="17"/>
  </w:num>
  <w:num w:numId="5" w16cid:durableId="115999169">
    <w:abstractNumId w:val="21"/>
  </w:num>
  <w:num w:numId="6" w16cid:durableId="828792381">
    <w:abstractNumId w:val="9"/>
  </w:num>
  <w:num w:numId="7" w16cid:durableId="1871844687">
    <w:abstractNumId w:val="7"/>
  </w:num>
  <w:num w:numId="8" w16cid:durableId="1939096192">
    <w:abstractNumId w:val="2"/>
  </w:num>
  <w:num w:numId="9" w16cid:durableId="1810197415">
    <w:abstractNumId w:val="22"/>
  </w:num>
  <w:num w:numId="10" w16cid:durableId="508565949">
    <w:abstractNumId w:val="23"/>
  </w:num>
  <w:num w:numId="11" w16cid:durableId="528299451">
    <w:abstractNumId w:val="14"/>
  </w:num>
  <w:num w:numId="12" w16cid:durableId="613830045">
    <w:abstractNumId w:val="8"/>
  </w:num>
  <w:num w:numId="13" w16cid:durableId="2040230155">
    <w:abstractNumId w:val="16"/>
  </w:num>
  <w:num w:numId="14" w16cid:durableId="749623021">
    <w:abstractNumId w:val="10"/>
  </w:num>
  <w:num w:numId="15" w16cid:durableId="205652152">
    <w:abstractNumId w:val="6"/>
  </w:num>
  <w:num w:numId="16" w16cid:durableId="176509094">
    <w:abstractNumId w:val="4"/>
  </w:num>
  <w:num w:numId="17" w16cid:durableId="1704674050">
    <w:abstractNumId w:val="18"/>
  </w:num>
  <w:num w:numId="18" w16cid:durableId="415367287">
    <w:abstractNumId w:val="5"/>
  </w:num>
  <w:num w:numId="19" w16cid:durableId="2023624262">
    <w:abstractNumId w:val="20"/>
  </w:num>
  <w:num w:numId="20" w16cid:durableId="864173510">
    <w:abstractNumId w:val="11"/>
  </w:num>
  <w:num w:numId="21" w16cid:durableId="1777866729">
    <w:abstractNumId w:val="19"/>
  </w:num>
  <w:num w:numId="22" w16cid:durableId="1242594186">
    <w:abstractNumId w:val="3"/>
  </w:num>
  <w:num w:numId="23" w16cid:durableId="1793094498">
    <w:abstractNumId w:val="13"/>
  </w:num>
  <w:num w:numId="24" w16cid:durableId="1758019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41358"/>
    <w:rsid w:val="000451DF"/>
    <w:rsid w:val="000578A0"/>
    <w:rsid w:val="00063AA5"/>
    <w:rsid w:val="00064913"/>
    <w:rsid w:val="00065565"/>
    <w:rsid w:val="00070EF9"/>
    <w:rsid w:val="00087F13"/>
    <w:rsid w:val="0009419C"/>
    <w:rsid w:val="000A08BC"/>
    <w:rsid w:val="000A09A9"/>
    <w:rsid w:val="000A1B43"/>
    <w:rsid w:val="000A2B67"/>
    <w:rsid w:val="000A5631"/>
    <w:rsid w:val="000A782A"/>
    <w:rsid w:val="000B6FAC"/>
    <w:rsid w:val="000B78A7"/>
    <w:rsid w:val="000C007D"/>
    <w:rsid w:val="000C0B00"/>
    <w:rsid w:val="000C1229"/>
    <w:rsid w:val="000D45F1"/>
    <w:rsid w:val="000E38D2"/>
    <w:rsid w:val="000F392B"/>
    <w:rsid w:val="000F55FC"/>
    <w:rsid w:val="00106EA5"/>
    <w:rsid w:val="001105B9"/>
    <w:rsid w:val="0012035D"/>
    <w:rsid w:val="00120921"/>
    <w:rsid w:val="001275AB"/>
    <w:rsid w:val="00127960"/>
    <w:rsid w:val="00143A90"/>
    <w:rsid w:val="00146E58"/>
    <w:rsid w:val="0015297A"/>
    <w:rsid w:val="001616A1"/>
    <w:rsid w:val="00164997"/>
    <w:rsid w:val="00171F30"/>
    <w:rsid w:val="00180F0C"/>
    <w:rsid w:val="001A2C00"/>
    <w:rsid w:val="001A7DE8"/>
    <w:rsid w:val="001B46F0"/>
    <w:rsid w:val="001B5C82"/>
    <w:rsid w:val="001C1BFA"/>
    <w:rsid w:val="001E4ACE"/>
    <w:rsid w:val="001F2851"/>
    <w:rsid w:val="002015D2"/>
    <w:rsid w:val="00206622"/>
    <w:rsid w:val="00214934"/>
    <w:rsid w:val="00214B32"/>
    <w:rsid w:val="00221556"/>
    <w:rsid w:val="00221BAA"/>
    <w:rsid w:val="00225AD5"/>
    <w:rsid w:val="0022706D"/>
    <w:rsid w:val="00227328"/>
    <w:rsid w:val="00230E67"/>
    <w:rsid w:val="00237579"/>
    <w:rsid w:val="00247CD4"/>
    <w:rsid w:val="002715E1"/>
    <w:rsid w:val="002717E0"/>
    <w:rsid w:val="00275B98"/>
    <w:rsid w:val="002860D0"/>
    <w:rsid w:val="00296F2A"/>
    <w:rsid w:val="002A3BA2"/>
    <w:rsid w:val="002A5382"/>
    <w:rsid w:val="002B60FC"/>
    <w:rsid w:val="002D3D46"/>
    <w:rsid w:val="002D5532"/>
    <w:rsid w:val="002D6C7B"/>
    <w:rsid w:val="002E0AB8"/>
    <w:rsid w:val="002E3245"/>
    <w:rsid w:val="002F7616"/>
    <w:rsid w:val="00312B55"/>
    <w:rsid w:val="00316083"/>
    <w:rsid w:val="003161C7"/>
    <w:rsid w:val="003168DA"/>
    <w:rsid w:val="0032144B"/>
    <w:rsid w:val="003221B0"/>
    <w:rsid w:val="00326070"/>
    <w:rsid w:val="003318AB"/>
    <w:rsid w:val="00361353"/>
    <w:rsid w:val="00363BBA"/>
    <w:rsid w:val="00366610"/>
    <w:rsid w:val="003759E0"/>
    <w:rsid w:val="003766E7"/>
    <w:rsid w:val="00380F2F"/>
    <w:rsid w:val="00387533"/>
    <w:rsid w:val="00392106"/>
    <w:rsid w:val="003956E6"/>
    <w:rsid w:val="003A2CB9"/>
    <w:rsid w:val="003C1094"/>
    <w:rsid w:val="003C220F"/>
    <w:rsid w:val="003D7AE1"/>
    <w:rsid w:val="003D7C51"/>
    <w:rsid w:val="003F08EF"/>
    <w:rsid w:val="003F0ED0"/>
    <w:rsid w:val="0040217C"/>
    <w:rsid w:val="004131CE"/>
    <w:rsid w:val="0042264C"/>
    <w:rsid w:val="00440D0B"/>
    <w:rsid w:val="004509D4"/>
    <w:rsid w:val="004753C6"/>
    <w:rsid w:val="004762E1"/>
    <w:rsid w:val="00482416"/>
    <w:rsid w:val="00484FFE"/>
    <w:rsid w:val="00485EB7"/>
    <w:rsid w:val="00494464"/>
    <w:rsid w:val="00496895"/>
    <w:rsid w:val="00497055"/>
    <w:rsid w:val="004A13F3"/>
    <w:rsid w:val="004A149A"/>
    <w:rsid w:val="004A3EB9"/>
    <w:rsid w:val="004A5A7B"/>
    <w:rsid w:val="004B70BB"/>
    <w:rsid w:val="004C192A"/>
    <w:rsid w:val="004C47A7"/>
    <w:rsid w:val="004C797A"/>
    <w:rsid w:val="004E63FD"/>
    <w:rsid w:val="004F394E"/>
    <w:rsid w:val="004F69C4"/>
    <w:rsid w:val="004F716E"/>
    <w:rsid w:val="00523080"/>
    <w:rsid w:val="0052378C"/>
    <w:rsid w:val="00526A2F"/>
    <w:rsid w:val="005300E3"/>
    <w:rsid w:val="005374C5"/>
    <w:rsid w:val="00544049"/>
    <w:rsid w:val="00545F02"/>
    <w:rsid w:val="00547D92"/>
    <w:rsid w:val="00565BE3"/>
    <w:rsid w:val="005668CB"/>
    <w:rsid w:val="005670DC"/>
    <w:rsid w:val="00567D84"/>
    <w:rsid w:val="00570758"/>
    <w:rsid w:val="00583A73"/>
    <w:rsid w:val="00585AE2"/>
    <w:rsid w:val="005929D3"/>
    <w:rsid w:val="005A3584"/>
    <w:rsid w:val="005A3940"/>
    <w:rsid w:val="005B6D8A"/>
    <w:rsid w:val="005C395A"/>
    <w:rsid w:val="005C3BE5"/>
    <w:rsid w:val="005C41CD"/>
    <w:rsid w:val="005D2276"/>
    <w:rsid w:val="005E7B75"/>
    <w:rsid w:val="005F4673"/>
    <w:rsid w:val="00600C52"/>
    <w:rsid w:val="00606445"/>
    <w:rsid w:val="0061298F"/>
    <w:rsid w:val="006210F6"/>
    <w:rsid w:val="00623A5A"/>
    <w:rsid w:val="0064633C"/>
    <w:rsid w:val="00651E19"/>
    <w:rsid w:val="0065702E"/>
    <w:rsid w:val="0065713F"/>
    <w:rsid w:val="00661C3B"/>
    <w:rsid w:val="00663E83"/>
    <w:rsid w:val="00685CA6"/>
    <w:rsid w:val="006937DB"/>
    <w:rsid w:val="0069433A"/>
    <w:rsid w:val="00695587"/>
    <w:rsid w:val="006A222E"/>
    <w:rsid w:val="006A4A83"/>
    <w:rsid w:val="006D065F"/>
    <w:rsid w:val="006D1AE5"/>
    <w:rsid w:val="006D7347"/>
    <w:rsid w:val="006E186D"/>
    <w:rsid w:val="00707F65"/>
    <w:rsid w:val="00713477"/>
    <w:rsid w:val="007239FC"/>
    <w:rsid w:val="00725676"/>
    <w:rsid w:val="007334C9"/>
    <w:rsid w:val="00735115"/>
    <w:rsid w:val="007411A9"/>
    <w:rsid w:val="00745951"/>
    <w:rsid w:val="00747548"/>
    <w:rsid w:val="0075108F"/>
    <w:rsid w:val="00753A2F"/>
    <w:rsid w:val="00753A36"/>
    <w:rsid w:val="007626E1"/>
    <w:rsid w:val="00766A87"/>
    <w:rsid w:val="00770D72"/>
    <w:rsid w:val="00774F7F"/>
    <w:rsid w:val="007846FF"/>
    <w:rsid w:val="00796AB1"/>
    <w:rsid w:val="00797A16"/>
    <w:rsid w:val="007B102E"/>
    <w:rsid w:val="007B5F0E"/>
    <w:rsid w:val="007B6B82"/>
    <w:rsid w:val="007C2237"/>
    <w:rsid w:val="007C5E8F"/>
    <w:rsid w:val="007C6AA2"/>
    <w:rsid w:val="007C6F24"/>
    <w:rsid w:val="007D0A87"/>
    <w:rsid w:val="007E2721"/>
    <w:rsid w:val="007E72E2"/>
    <w:rsid w:val="007F2B96"/>
    <w:rsid w:val="007F53BD"/>
    <w:rsid w:val="00803373"/>
    <w:rsid w:val="008047F4"/>
    <w:rsid w:val="00807480"/>
    <w:rsid w:val="00812F38"/>
    <w:rsid w:val="008149BC"/>
    <w:rsid w:val="0082406D"/>
    <w:rsid w:val="00824F7D"/>
    <w:rsid w:val="00836F1A"/>
    <w:rsid w:val="0083787B"/>
    <w:rsid w:val="00846BD5"/>
    <w:rsid w:val="00864797"/>
    <w:rsid w:val="008713E7"/>
    <w:rsid w:val="00871B22"/>
    <w:rsid w:val="00884825"/>
    <w:rsid w:val="00884A3C"/>
    <w:rsid w:val="008A743C"/>
    <w:rsid w:val="008B2975"/>
    <w:rsid w:val="008B3B59"/>
    <w:rsid w:val="008B7C47"/>
    <w:rsid w:val="008C42CF"/>
    <w:rsid w:val="008D746A"/>
    <w:rsid w:val="008D7A46"/>
    <w:rsid w:val="008D7E69"/>
    <w:rsid w:val="008E2AA3"/>
    <w:rsid w:val="008F075A"/>
    <w:rsid w:val="008F3B02"/>
    <w:rsid w:val="008F40F9"/>
    <w:rsid w:val="008F62BC"/>
    <w:rsid w:val="00901245"/>
    <w:rsid w:val="0090732F"/>
    <w:rsid w:val="00907A9F"/>
    <w:rsid w:val="00916E6F"/>
    <w:rsid w:val="00917C03"/>
    <w:rsid w:val="009219C6"/>
    <w:rsid w:val="00923464"/>
    <w:rsid w:val="009337A1"/>
    <w:rsid w:val="009423AD"/>
    <w:rsid w:val="00947F93"/>
    <w:rsid w:val="00950B78"/>
    <w:rsid w:val="00952B92"/>
    <w:rsid w:val="009630C5"/>
    <w:rsid w:val="009670C6"/>
    <w:rsid w:val="00976701"/>
    <w:rsid w:val="0098172B"/>
    <w:rsid w:val="00990E08"/>
    <w:rsid w:val="009924A9"/>
    <w:rsid w:val="009A0985"/>
    <w:rsid w:val="009A0CD3"/>
    <w:rsid w:val="009A1ADB"/>
    <w:rsid w:val="009D1DF0"/>
    <w:rsid w:val="00A347B6"/>
    <w:rsid w:val="00A356F7"/>
    <w:rsid w:val="00A50225"/>
    <w:rsid w:val="00A53227"/>
    <w:rsid w:val="00A53B66"/>
    <w:rsid w:val="00A61056"/>
    <w:rsid w:val="00A611CC"/>
    <w:rsid w:val="00A63D87"/>
    <w:rsid w:val="00A6410D"/>
    <w:rsid w:val="00A741A5"/>
    <w:rsid w:val="00A75C28"/>
    <w:rsid w:val="00A779D2"/>
    <w:rsid w:val="00A817D7"/>
    <w:rsid w:val="00A82B61"/>
    <w:rsid w:val="00A85214"/>
    <w:rsid w:val="00A856C9"/>
    <w:rsid w:val="00A85822"/>
    <w:rsid w:val="00AA05B5"/>
    <w:rsid w:val="00AA15CF"/>
    <w:rsid w:val="00AA43C8"/>
    <w:rsid w:val="00AB1C22"/>
    <w:rsid w:val="00AB5D2D"/>
    <w:rsid w:val="00AB6054"/>
    <w:rsid w:val="00AC35A1"/>
    <w:rsid w:val="00AC3B75"/>
    <w:rsid w:val="00AC4AE3"/>
    <w:rsid w:val="00AD004E"/>
    <w:rsid w:val="00AD46D5"/>
    <w:rsid w:val="00AD57BD"/>
    <w:rsid w:val="00AD7795"/>
    <w:rsid w:val="00AF1134"/>
    <w:rsid w:val="00AF3E00"/>
    <w:rsid w:val="00AF5182"/>
    <w:rsid w:val="00B000CC"/>
    <w:rsid w:val="00B04CBF"/>
    <w:rsid w:val="00B13881"/>
    <w:rsid w:val="00B2705D"/>
    <w:rsid w:val="00B463B0"/>
    <w:rsid w:val="00B54FA1"/>
    <w:rsid w:val="00B55535"/>
    <w:rsid w:val="00B57F2A"/>
    <w:rsid w:val="00B603CF"/>
    <w:rsid w:val="00B64061"/>
    <w:rsid w:val="00B668AC"/>
    <w:rsid w:val="00B731E0"/>
    <w:rsid w:val="00B7346E"/>
    <w:rsid w:val="00B73FFB"/>
    <w:rsid w:val="00B74532"/>
    <w:rsid w:val="00B76C97"/>
    <w:rsid w:val="00B82C63"/>
    <w:rsid w:val="00B85115"/>
    <w:rsid w:val="00B853B1"/>
    <w:rsid w:val="00B86BD9"/>
    <w:rsid w:val="00B91105"/>
    <w:rsid w:val="00B95D7C"/>
    <w:rsid w:val="00BA1054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9681E"/>
    <w:rsid w:val="00CA05DB"/>
    <w:rsid w:val="00CA6B50"/>
    <w:rsid w:val="00CB1319"/>
    <w:rsid w:val="00CC7949"/>
    <w:rsid w:val="00CE4800"/>
    <w:rsid w:val="00CE4DE7"/>
    <w:rsid w:val="00CF50C0"/>
    <w:rsid w:val="00CF56A2"/>
    <w:rsid w:val="00D05AF3"/>
    <w:rsid w:val="00D1458F"/>
    <w:rsid w:val="00D17922"/>
    <w:rsid w:val="00D25A13"/>
    <w:rsid w:val="00D472BF"/>
    <w:rsid w:val="00D5036E"/>
    <w:rsid w:val="00D518CD"/>
    <w:rsid w:val="00D57E08"/>
    <w:rsid w:val="00D62CA2"/>
    <w:rsid w:val="00D65E69"/>
    <w:rsid w:val="00D760E8"/>
    <w:rsid w:val="00D812E8"/>
    <w:rsid w:val="00D83CD1"/>
    <w:rsid w:val="00D914F4"/>
    <w:rsid w:val="00D93D89"/>
    <w:rsid w:val="00DA0C09"/>
    <w:rsid w:val="00DA46E0"/>
    <w:rsid w:val="00DB2FDD"/>
    <w:rsid w:val="00DB3781"/>
    <w:rsid w:val="00DD27D1"/>
    <w:rsid w:val="00DD6A01"/>
    <w:rsid w:val="00DE1331"/>
    <w:rsid w:val="00DE329F"/>
    <w:rsid w:val="00DE359C"/>
    <w:rsid w:val="00DE4140"/>
    <w:rsid w:val="00DF7B8D"/>
    <w:rsid w:val="00E013BC"/>
    <w:rsid w:val="00E02661"/>
    <w:rsid w:val="00E028FC"/>
    <w:rsid w:val="00E060BA"/>
    <w:rsid w:val="00E06A7B"/>
    <w:rsid w:val="00E12935"/>
    <w:rsid w:val="00E24E84"/>
    <w:rsid w:val="00E443DF"/>
    <w:rsid w:val="00E466CC"/>
    <w:rsid w:val="00E51803"/>
    <w:rsid w:val="00E77A6F"/>
    <w:rsid w:val="00E77B1C"/>
    <w:rsid w:val="00E8207A"/>
    <w:rsid w:val="00E8215D"/>
    <w:rsid w:val="00E85B40"/>
    <w:rsid w:val="00E9336E"/>
    <w:rsid w:val="00E93627"/>
    <w:rsid w:val="00EA49D8"/>
    <w:rsid w:val="00EA56A7"/>
    <w:rsid w:val="00EB6330"/>
    <w:rsid w:val="00EC5F49"/>
    <w:rsid w:val="00ED7071"/>
    <w:rsid w:val="00ED78A1"/>
    <w:rsid w:val="00EE2B26"/>
    <w:rsid w:val="00EF0BB9"/>
    <w:rsid w:val="00EF11F1"/>
    <w:rsid w:val="00F0049D"/>
    <w:rsid w:val="00F1373A"/>
    <w:rsid w:val="00F15FC2"/>
    <w:rsid w:val="00F1721D"/>
    <w:rsid w:val="00F20F37"/>
    <w:rsid w:val="00F261E8"/>
    <w:rsid w:val="00F310DA"/>
    <w:rsid w:val="00F47DC2"/>
    <w:rsid w:val="00F52899"/>
    <w:rsid w:val="00F60504"/>
    <w:rsid w:val="00F65689"/>
    <w:rsid w:val="00F677D9"/>
    <w:rsid w:val="00F92A3B"/>
    <w:rsid w:val="00F936DE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B1">
      <a:dk1>
        <a:srgbClr val="203B24"/>
      </a:dk1>
      <a:lt1>
        <a:srgbClr val="FFFFCC"/>
      </a:lt1>
      <a:dk2>
        <a:srgbClr val="C67400"/>
      </a:dk2>
      <a:lt2>
        <a:srgbClr val="A9C2A5"/>
      </a:lt2>
      <a:accent1>
        <a:srgbClr val="FFFFCC"/>
      </a:accent1>
      <a:accent2>
        <a:srgbClr val="A9C2A5"/>
      </a:accent2>
      <a:accent3>
        <a:srgbClr val="C67400"/>
      </a:accent3>
      <a:accent4>
        <a:srgbClr val="202B2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A90CA4642E34CAE3E48C79283135E" ma:contentTypeVersion="17" ma:contentTypeDescription="Create a new document." ma:contentTypeScope="" ma:versionID="7edaef74eb2621c0f427ed7ebfa2273d">
  <xsd:schema xmlns:xsd="http://www.w3.org/2001/XMLSchema" xmlns:xs="http://www.w3.org/2001/XMLSchema" xmlns:p="http://schemas.microsoft.com/office/2006/metadata/properties" xmlns:ns2="7646ba9b-1771-4155-8edb-72fc68b5d5a4" xmlns:ns3="6051bb65-5556-4a56-91ef-dad7a19afa50" targetNamespace="http://schemas.microsoft.com/office/2006/metadata/properties" ma:root="true" ma:fieldsID="a53659cc6f6184a1367ee781f253637e" ns2:_="" ns3:_="">
    <xsd:import namespace="7646ba9b-1771-4155-8edb-72fc68b5d5a4"/>
    <xsd:import namespace="6051bb65-5556-4a56-91ef-dad7a19af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6ba9b-1771-4155-8edb-72fc68b5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bb65-5556-4a56-91ef-dad7a19a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26b76b-b3ae-41f4-855b-8b7c7d0f80c2}" ma:internalName="TaxCatchAll" ma:showField="CatchAllData" ma:web="6051bb65-5556-4a56-91ef-dad7a19af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51bb65-5556-4a56-91ef-dad7a19afa50">
      <UserInfo>
        <DisplayName/>
        <AccountId xsi:nil="true"/>
        <AccountType/>
      </UserInfo>
    </SharedWithUsers>
    <lcf76f155ced4ddcb4097134ff3c332f xmlns="7646ba9b-1771-4155-8edb-72fc68b5d5a4">
      <Terms xmlns="http://schemas.microsoft.com/office/infopath/2007/PartnerControls"/>
    </lcf76f155ced4ddcb4097134ff3c332f>
    <TaxCatchAll xmlns="6051bb65-5556-4a56-91ef-dad7a19afa50" xsi:nil="true"/>
  </documentManagement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5E8F6-9232-4B8E-A970-BA665F3C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6ba9b-1771-4155-8edb-72fc68b5d5a4"/>
    <ds:schemaRef ds:uri="6051bb65-5556-4a56-91ef-dad7a19a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6051bb65-5556-4a56-91ef-dad7a19afa50"/>
    <ds:schemaRef ds:uri="7646ba9b-1771-4155-8edb-72fc68b5d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Jack Large</cp:lastModifiedBy>
  <cp:revision>121</cp:revision>
  <cp:lastPrinted>2019-10-15T16:43:00Z</cp:lastPrinted>
  <dcterms:created xsi:type="dcterms:W3CDTF">2025-06-25T13:17:00Z</dcterms:created>
  <dcterms:modified xsi:type="dcterms:W3CDTF">2025-10-10T12:48:00Z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0x010100BDEA90CA4642E34CAE3E48C79283135E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