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378D9F2A" w:rsidR="00952B92" w:rsidRPr="008B3B59" w:rsidRDefault="002D13BE">
      <w:pPr>
        <w:jc w:val="center"/>
        <w:rPr>
          <w:rFonts w:ascii="Arial" w:eastAsia="Arial" w:hAnsi="Arial" w:cs="Arial"/>
          <w:sz w:val="22"/>
          <w:szCs w:val="22"/>
        </w:rPr>
      </w:pPr>
      <w:r w:rsidRPr="008E0E9D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F1FDE35" wp14:editId="149C69D4">
            <wp:extent cx="2562225" cy="689830"/>
            <wp:effectExtent l="0" t="0" r="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EF8E959-C2CC-44F6-9512-7D756AE340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DEF8E959-C2CC-44F6-9512-7D756AE340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1" t="42900" r="56049" b="48690"/>
                    <a:stretch/>
                  </pic:blipFill>
                  <pic:spPr bwMode="auto">
                    <a:xfrm>
                      <a:off x="0" y="0"/>
                      <a:ext cx="2576782" cy="69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4"/>
        <w:gridCol w:w="4656"/>
        <w:gridCol w:w="1296"/>
        <w:gridCol w:w="1701"/>
      </w:tblGrid>
      <w:tr w:rsidR="00952B92" w:rsidRPr="008B3B59" w14:paraId="17420582" w14:textId="77777777" w:rsidTr="78C0ACE2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322765">
        <w:trPr>
          <w:trHeight w:val="280"/>
        </w:trPr>
        <w:tc>
          <w:tcPr>
            <w:tcW w:w="2554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656" w:type="dxa"/>
          </w:tcPr>
          <w:p w14:paraId="7C74DD0B" w14:textId="2EC4ED7D" w:rsidR="00952B92" w:rsidRPr="008B3B59" w:rsidRDefault="00925357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5E43169">
              <w:rPr>
                <w:rFonts w:ascii="Arial" w:eastAsia="Arial" w:hAnsi="Arial" w:cs="Arial"/>
                <w:sz w:val="22"/>
                <w:szCs w:val="22"/>
              </w:rPr>
              <w:t>Revenue</w:t>
            </w:r>
            <w:r w:rsidR="00887E4B" w:rsidRPr="05E431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8B03450" w:rsidRPr="05E43169">
              <w:rPr>
                <w:rFonts w:ascii="Arial" w:eastAsia="Arial" w:hAnsi="Arial" w:cs="Arial"/>
                <w:sz w:val="22"/>
                <w:szCs w:val="22"/>
              </w:rPr>
              <w:t xml:space="preserve">Growth </w:t>
            </w:r>
            <w:r w:rsidR="00322765">
              <w:rPr>
                <w:rFonts w:ascii="Arial" w:eastAsia="Arial" w:hAnsi="Arial" w:cs="Arial"/>
                <w:sz w:val="22"/>
                <w:szCs w:val="22"/>
              </w:rPr>
              <w:t>Management</w:t>
            </w:r>
            <w:r w:rsidR="78B03450" w:rsidRPr="05E431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C1FD8">
              <w:rPr>
                <w:rFonts w:ascii="Arial" w:eastAsia="Arial" w:hAnsi="Arial" w:cs="Arial"/>
                <w:sz w:val="22"/>
                <w:szCs w:val="22"/>
              </w:rPr>
              <w:t>Analyst</w:t>
            </w:r>
          </w:p>
        </w:tc>
        <w:tc>
          <w:tcPr>
            <w:tcW w:w="1296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0BB97C7" w:rsidR="00952B92" w:rsidRPr="008B3B59" w:rsidRDefault="0092535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March 2026</w:t>
            </w:r>
          </w:p>
        </w:tc>
      </w:tr>
      <w:tr w:rsidR="00952B92" w:rsidRPr="008B3B59" w14:paraId="3E7C9FD0" w14:textId="77777777" w:rsidTr="00322765">
        <w:trPr>
          <w:trHeight w:val="260"/>
        </w:trPr>
        <w:tc>
          <w:tcPr>
            <w:tcW w:w="2554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53" w:type="dxa"/>
            <w:gridSpan w:val="3"/>
          </w:tcPr>
          <w:p w14:paraId="2B217B1C" w14:textId="1AC3C269" w:rsidR="00952B92" w:rsidRPr="008B3B59" w:rsidRDefault="002C01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Ginsters</w:t>
            </w:r>
            <w:proofErr w:type="spellEnd"/>
          </w:p>
        </w:tc>
      </w:tr>
      <w:tr w:rsidR="00952B92" w:rsidRPr="008B3B59" w14:paraId="1AFA810F" w14:textId="77777777" w:rsidTr="00322765">
        <w:tc>
          <w:tcPr>
            <w:tcW w:w="2554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53" w:type="dxa"/>
            <w:gridSpan w:val="3"/>
          </w:tcPr>
          <w:p w14:paraId="343972EB" w14:textId="670328CE" w:rsidR="00952B92" w:rsidRPr="008B3B59" w:rsidRDefault="002C01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Sales</w:t>
            </w:r>
          </w:p>
        </w:tc>
      </w:tr>
      <w:tr w:rsidR="00952B92" w:rsidRPr="008B3B59" w14:paraId="24164379" w14:textId="77777777" w:rsidTr="00322765">
        <w:trPr>
          <w:trHeight w:val="280"/>
        </w:trPr>
        <w:tc>
          <w:tcPr>
            <w:tcW w:w="2554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53" w:type="dxa"/>
            <w:gridSpan w:val="3"/>
          </w:tcPr>
          <w:p w14:paraId="06346BBF" w14:textId="4F501C2E" w:rsidR="00952B92" w:rsidRPr="008B3B59" w:rsidRDefault="00AC566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Ginsters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Royal William Yard</w:t>
            </w:r>
          </w:p>
        </w:tc>
      </w:tr>
      <w:tr w:rsidR="00952B92" w:rsidRPr="008B3B59" w14:paraId="4D9810B3" w14:textId="77777777" w:rsidTr="78C0ACE2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78C0ACE2">
        <w:trPr>
          <w:trHeight w:val="1880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A16315" w14:textId="77777777" w:rsidR="0086601D" w:rsidRDefault="00932044" w:rsidP="00A333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2044">
              <w:rPr>
                <w:rFonts w:ascii="Arial" w:hAnsi="Arial" w:cs="Arial"/>
                <w:sz w:val="22"/>
                <w:szCs w:val="22"/>
                <w:lang w:val="en-US"/>
              </w:rPr>
              <w:t>The RGM Analyst plays a key role in supporting profitable, sustainable growth by delivering high</w:t>
            </w:r>
            <w:r w:rsidRPr="00932044">
              <w:rPr>
                <w:rFonts w:ascii="Arial" w:hAnsi="Arial" w:cs="Arial"/>
                <w:sz w:val="22"/>
                <w:szCs w:val="22"/>
                <w:lang w:val="en-US"/>
              </w:rPr>
              <w:noBreakHyphen/>
              <w:t>quality insight and analytics across the core RGM levers: </w:t>
            </w:r>
            <w:r w:rsidRPr="001C0271">
              <w:rPr>
                <w:rFonts w:ascii="Arial" w:hAnsi="Arial" w:cs="Arial"/>
                <w:sz w:val="22"/>
                <w:szCs w:val="22"/>
                <w:lang w:val="en-US"/>
              </w:rPr>
              <w:t>pricing, promotions, mix &amp; assortment, pack/price architecture, and customer terms.</w:t>
            </w:r>
            <w:r w:rsidRPr="001C027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18C2101" w14:textId="77777777" w:rsidR="00507BF3" w:rsidRDefault="00932044" w:rsidP="00A333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0271">
              <w:rPr>
                <w:rFonts w:ascii="Arial" w:hAnsi="Arial" w:cs="Arial"/>
                <w:sz w:val="22"/>
                <w:szCs w:val="22"/>
              </w:rPr>
              <w:br/>
            </w:r>
            <w:r w:rsidR="001C0271">
              <w:rPr>
                <w:rFonts w:ascii="Arial" w:hAnsi="Arial" w:cs="Arial"/>
                <w:sz w:val="22"/>
                <w:szCs w:val="22"/>
                <w:lang w:val="en-US"/>
              </w:rPr>
              <w:t xml:space="preserve">An integral member of the </w:t>
            </w:r>
            <w:proofErr w:type="spellStart"/>
            <w:r w:rsidR="001C0271">
              <w:rPr>
                <w:rFonts w:ascii="Arial" w:hAnsi="Arial" w:cs="Arial"/>
                <w:sz w:val="22"/>
                <w:szCs w:val="22"/>
                <w:lang w:val="en-US"/>
              </w:rPr>
              <w:t>Ginsters</w:t>
            </w:r>
            <w:proofErr w:type="spellEnd"/>
            <w:r w:rsidR="001C0271">
              <w:rPr>
                <w:rFonts w:ascii="Arial" w:hAnsi="Arial" w:cs="Arial"/>
                <w:sz w:val="22"/>
                <w:szCs w:val="22"/>
                <w:lang w:val="en-US"/>
              </w:rPr>
              <w:t xml:space="preserve"> Commercial Team, the RGM Analyst will</w:t>
            </w:r>
            <w:r w:rsidR="00C60C58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932044">
              <w:rPr>
                <w:rFonts w:ascii="Arial" w:hAnsi="Arial" w:cs="Arial"/>
                <w:sz w:val="22"/>
                <w:szCs w:val="22"/>
                <w:lang w:val="en-US"/>
              </w:rPr>
              <w:t>ork closely with Sales, Finance, Marketing, Category and Insight teams, the role turns complex data into clear, actionable recommendations that strengthen commercial decision</w:t>
            </w:r>
            <w:r w:rsidRPr="00932044">
              <w:rPr>
                <w:rFonts w:ascii="Arial" w:hAnsi="Arial" w:cs="Arial"/>
                <w:sz w:val="22"/>
                <w:szCs w:val="22"/>
                <w:lang w:val="en-US"/>
              </w:rPr>
              <w:noBreakHyphen/>
              <w:t>making in a fast</w:t>
            </w:r>
            <w:r w:rsidRPr="00932044">
              <w:rPr>
                <w:rFonts w:ascii="Arial" w:hAnsi="Arial" w:cs="Arial"/>
                <w:sz w:val="22"/>
                <w:szCs w:val="22"/>
                <w:lang w:val="en-US"/>
              </w:rPr>
              <w:noBreakHyphen/>
              <w:t>paced FMCG environment.</w:t>
            </w:r>
            <w:r w:rsidRPr="00932044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F2DE21A" w14:textId="7B8ED4F1" w:rsidR="007A40D1" w:rsidRDefault="00932044" w:rsidP="00A333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2044">
              <w:rPr>
                <w:rFonts w:ascii="Arial" w:hAnsi="Arial" w:cs="Arial"/>
                <w:sz w:val="22"/>
                <w:szCs w:val="22"/>
              </w:rPr>
              <w:br/>
            </w:r>
            <w:r w:rsidRPr="00932044">
              <w:rPr>
                <w:rFonts w:ascii="Arial" w:hAnsi="Arial" w:cs="Arial"/>
                <w:sz w:val="22"/>
                <w:szCs w:val="22"/>
                <w:lang w:val="en-US"/>
              </w:rPr>
              <w:t>This role also contributes to the development of reporting, tools and processes that embed RGM principles within planning and execution.</w:t>
            </w:r>
          </w:p>
          <w:p w14:paraId="099BD59F" w14:textId="0A5BEF31" w:rsidR="00B668AC" w:rsidRPr="008B3B59" w:rsidRDefault="00B668AC" w:rsidP="007A40D1">
            <w:pPr>
              <w:pStyle w:val="ListParagraph"/>
              <w:spacing w:after="160" w:line="259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952B92" w:rsidRPr="008B3B59" w14:paraId="3E74F4CB" w14:textId="77777777" w:rsidTr="78C0ACE2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290C62" w:rsidRPr="008B3B59" w14:paraId="3ABA47C2" w14:textId="77777777" w:rsidTr="00322765">
        <w:trPr>
          <w:trHeight w:val="476"/>
        </w:trPr>
        <w:tc>
          <w:tcPr>
            <w:tcW w:w="2554" w:type="dxa"/>
            <w:shd w:val="clear" w:color="auto" w:fill="FFFDEE"/>
            <w:vAlign w:val="center"/>
          </w:tcPr>
          <w:p w14:paraId="27DFE983" w14:textId="1C569B4A" w:rsidR="00290C62" w:rsidRPr="008B3B59" w:rsidRDefault="00290C62" w:rsidP="00290C62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1F63F8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53" w:type="dxa"/>
            <w:gridSpan w:val="3"/>
            <w:vAlign w:val="center"/>
          </w:tcPr>
          <w:p w14:paraId="540E114B" w14:textId="47858DF7" w:rsidR="00290C62" w:rsidRPr="008B3B59" w:rsidRDefault="00925357" w:rsidP="00290C6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Head of Revenue Growth &amp; Planning</w:t>
            </w:r>
          </w:p>
        </w:tc>
      </w:tr>
      <w:tr w:rsidR="00290C62" w:rsidRPr="008B3B59" w14:paraId="48BF19F7" w14:textId="77777777" w:rsidTr="00322765">
        <w:trPr>
          <w:trHeight w:val="393"/>
        </w:trPr>
        <w:tc>
          <w:tcPr>
            <w:tcW w:w="2554" w:type="dxa"/>
            <w:shd w:val="clear" w:color="auto" w:fill="FFFDEE"/>
          </w:tcPr>
          <w:p w14:paraId="175FAB54" w14:textId="5A063BA2" w:rsidR="00290C62" w:rsidRPr="008B3B59" w:rsidRDefault="00290C62" w:rsidP="00290C62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1F63F8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53" w:type="dxa"/>
            <w:gridSpan w:val="3"/>
            <w:vAlign w:val="center"/>
          </w:tcPr>
          <w:p w14:paraId="4C3C84CA" w14:textId="0FA8FFB3" w:rsidR="00290C62" w:rsidRPr="008B3B59" w:rsidRDefault="00507BF3" w:rsidP="00290C6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</w:t>
            </w:r>
          </w:p>
        </w:tc>
      </w:tr>
      <w:tr w:rsidR="00290C62" w:rsidRPr="008B3B59" w14:paraId="3402C6B7" w14:textId="77777777" w:rsidTr="00322765">
        <w:trPr>
          <w:trHeight w:val="393"/>
        </w:trPr>
        <w:tc>
          <w:tcPr>
            <w:tcW w:w="2554" w:type="dxa"/>
            <w:shd w:val="clear" w:color="auto" w:fill="FFFDEE"/>
          </w:tcPr>
          <w:p w14:paraId="6653F7BD" w14:textId="798E9E63" w:rsidR="00290C62" w:rsidRPr="008B3B59" w:rsidRDefault="00290C62" w:rsidP="00290C62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1F63F8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53" w:type="dxa"/>
            <w:gridSpan w:val="3"/>
          </w:tcPr>
          <w:p w14:paraId="0610225C" w14:textId="6F5F301A" w:rsidR="00290C62" w:rsidRPr="008B3B59" w:rsidRDefault="00290C62" w:rsidP="00290C6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Sales team, Finance team, Marketing team, Category team and Sales Operations Manager</w:t>
            </w:r>
          </w:p>
        </w:tc>
      </w:tr>
      <w:tr w:rsidR="00290C62" w:rsidRPr="008B3B59" w14:paraId="79D95C24" w14:textId="77777777" w:rsidTr="00322765">
        <w:trPr>
          <w:trHeight w:val="393"/>
        </w:trPr>
        <w:tc>
          <w:tcPr>
            <w:tcW w:w="2554" w:type="dxa"/>
            <w:shd w:val="clear" w:color="auto" w:fill="FFFDEE"/>
          </w:tcPr>
          <w:p w14:paraId="698E2329" w14:textId="77D8B10D" w:rsidR="00290C62" w:rsidRPr="008B3B59" w:rsidRDefault="00290C62" w:rsidP="00290C62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1F63F8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53" w:type="dxa"/>
            <w:gridSpan w:val="3"/>
          </w:tcPr>
          <w:p w14:paraId="032692C6" w14:textId="30B7FDCF" w:rsidR="00290C62" w:rsidRPr="008B3B59" w:rsidRDefault="00290C62" w:rsidP="00290C6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1677">
              <w:rPr>
                <w:rFonts w:ascii="Arial" w:eastAsia="Arial" w:hAnsi="Arial" w:cs="Arial"/>
                <w:sz w:val="22"/>
                <w:szCs w:val="22"/>
              </w:rPr>
              <w:t>Research Agency Partners</w:t>
            </w:r>
            <w:r w:rsidR="005C78E4">
              <w:rPr>
                <w:rFonts w:ascii="Arial" w:eastAsia="Arial" w:hAnsi="Arial" w:cs="Arial"/>
                <w:sz w:val="22"/>
                <w:szCs w:val="22"/>
              </w:rPr>
              <w:t xml:space="preserve"> &amp; Data Providers (e.g. Nielsen) </w:t>
            </w:r>
          </w:p>
        </w:tc>
      </w:tr>
      <w:tr w:rsidR="00952B92" w:rsidRPr="008B3B59" w14:paraId="7242F7E2" w14:textId="77777777" w:rsidTr="78C0ACE2">
        <w:tc>
          <w:tcPr>
            <w:tcW w:w="10207" w:type="dxa"/>
            <w:gridSpan w:val="4"/>
            <w:shd w:val="clear" w:color="auto" w:fill="988445"/>
          </w:tcPr>
          <w:p w14:paraId="22B0C359" w14:textId="1CBB40C5" w:rsidR="00281096" w:rsidRPr="00281096" w:rsidRDefault="003221B0" w:rsidP="00281096">
            <w:pPr>
              <w:pStyle w:val="Heading2"/>
              <w:rPr>
                <w:rFonts w:eastAsia="Arial"/>
              </w:rPr>
            </w:pPr>
            <w:r w:rsidRPr="00281096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KEY 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78C0ACE2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E50428" w:rsidRDefault="00952B92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D3AD3" w14:textId="77777777" w:rsidR="00541277" w:rsidRPr="00BE5B63" w:rsidRDefault="00541277" w:rsidP="005412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63">
              <w:rPr>
                <w:rFonts w:ascii="Arial" w:hAnsi="Arial" w:cs="Arial"/>
                <w:b/>
                <w:bCs/>
                <w:sz w:val="22"/>
                <w:szCs w:val="22"/>
              </w:rPr>
              <w:t>The principal aspects of the role are:</w:t>
            </w:r>
          </w:p>
          <w:p w14:paraId="63265D3C" w14:textId="77777777" w:rsidR="00541277" w:rsidRPr="00E50428" w:rsidRDefault="00541277" w:rsidP="005412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4B59C" w14:textId="77777777" w:rsidR="00891EE7" w:rsidRDefault="00CD3772" w:rsidP="00891EE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D3772">
              <w:rPr>
                <w:rFonts w:ascii="Arial" w:hAnsi="Arial" w:cs="Arial"/>
                <w:b/>
                <w:bCs/>
                <w:lang w:val="en-US"/>
              </w:rPr>
              <w:t>Pricing &amp; Pack Architecture (PPA)</w:t>
            </w:r>
            <w:r w:rsidRPr="00CD3772">
              <w:rPr>
                <w:rFonts w:ascii="Arial" w:hAnsi="Arial" w:cs="Arial"/>
              </w:rPr>
              <w:t> </w:t>
            </w:r>
          </w:p>
          <w:p w14:paraId="79A5BA59" w14:textId="77777777" w:rsidR="00891EE7" w:rsidRDefault="00CD3772" w:rsidP="00891EE7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891EE7">
              <w:rPr>
                <w:rFonts w:ascii="Arial" w:hAnsi="Arial" w:cs="Arial"/>
                <w:lang w:val="en-US"/>
              </w:rPr>
              <w:t>Support pricing and pack architecture analyses using internal and external data sources (e.g. EPOS, Nielsen, Kantar).</w:t>
            </w:r>
            <w:r w:rsidRPr="00891EE7">
              <w:rPr>
                <w:rFonts w:ascii="Arial" w:hAnsi="Arial" w:cs="Arial"/>
              </w:rPr>
              <w:t> </w:t>
            </w:r>
          </w:p>
          <w:p w14:paraId="1B7C6E9B" w14:textId="770799D7" w:rsidR="00CD3772" w:rsidRPr="003E1940" w:rsidRDefault="00CD3772" w:rsidP="00891EE7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891EE7">
              <w:rPr>
                <w:rFonts w:ascii="Arial" w:hAnsi="Arial" w:cs="Arial"/>
                <w:lang w:val="en-US"/>
              </w:rPr>
              <w:t>Evaluate ARP, £/kg, and VOD metrics to identify pricing opportunities and safeguard margin.</w:t>
            </w:r>
          </w:p>
          <w:p w14:paraId="2C181DDA" w14:textId="77777777" w:rsidR="003E1940" w:rsidRPr="00CF0529" w:rsidRDefault="003E1940" w:rsidP="003E1940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4FDDD337" w14:textId="77777777" w:rsidR="00CF0529" w:rsidRDefault="00CF0529" w:rsidP="00CF05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F0529">
              <w:rPr>
                <w:rFonts w:ascii="Arial" w:hAnsi="Arial" w:cs="Arial"/>
                <w:b/>
                <w:bCs/>
                <w:lang w:val="en-US"/>
              </w:rPr>
              <w:t>Promotional Effectiveness</w:t>
            </w:r>
            <w:r w:rsidRPr="00CF0529">
              <w:rPr>
                <w:rFonts w:ascii="Arial" w:hAnsi="Arial" w:cs="Arial"/>
              </w:rPr>
              <w:t> </w:t>
            </w:r>
          </w:p>
          <w:p w14:paraId="7F6BE5B0" w14:textId="77777777" w:rsidR="00CF0529" w:rsidRDefault="00CF0529" w:rsidP="00CF0529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F0529">
              <w:rPr>
                <w:rFonts w:ascii="Arial" w:hAnsi="Arial" w:cs="Arial"/>
                <w:lang w:val="en-US"/>
              </w:rPr>
              <w:t>Conduct pre</w:t>
            </w:r>
            <w:r w:rsidRPr="00CF0529">
              <w:rPr>
                <w:rFonts w:ascii="Arial" w:hAnsi="Arial" w:cs="Arial"/>
                <w:lang w:val="en-US"/>
              </w:rPr>
              <w:noBreakHyphen/>
              <w:t xml:space="preserve"> and post</w:t>
            </w:r>
            <w:r w:rsidRPr="00CF0529">
              <w:rPr>
                <w:rFonts w:ascii="Arial" w:hAnsi="Arial" w:cs="Arial"/>
                <w:lang w:val="en-US"/>
              </w:rPr>
              <w:noBreakHyphen/>
              <w:t>event evaluation of promotional plans.</w:t>
            </w:r>
            <w:r w:rsidRPr="00CF0529">
              <w:rPr>
                <w:rFonts w:ascii="Arial" w:hAnsi="Arial" w:cs="Arial"/>
              </w:rPr>
              <w:t> </w:t>
            </w:r>
          </w:p>
          <w:p w14:paraId="5D07CD5C" w14:textId="71AFAAD2" w:rsidR="003E1940" w:rsidRDefault="00775228" w:rsidP="003E194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Work with head of RG&amp;P to </w:t>
            </w:r>
            <w:r w:rsidR="00CF0529" w:rsidRPr="00CF0529">
              <w:rPr>
                <w:rFonts w:ascii="Arial" w:hAnsi="Arial" w:cs="Arial"/>
                <w:lang w:val="en-US"/>
              </w:rPr>
              <w:t>Identify optimal mechanics, depth, frequency and guardrails to improve ROI.</w:t>
            </w:r>
            <w:r w:rsidR="00CF0529" w:rsidRPr="00CF0529">
              <w:rPr>
                <w:rFonts w:ascii="Arial" w:hAnsi="Arial" w:cs="Arial"/>
              </w:rPr>
              <w:t> </w:t>
            </w:r>
          </w:p>
          <w:p w14:paraId="5D432A19" w14:textId="77777777" w:rsidR="000C1070" w:rsidRPr="000C1070" w:rsidRDefault="00CF0529" w:rsidP="000C107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3E1940">
              <w:rPr>
                <w:rFonts w:ascii="Arial" w:hAnsi="Arial" w:cs="Arial"/>
                <w:lang w:val="en-US"/>
              </w:rPr>
              <w:t>Maintain and enhance promotional reporting dashboards.</w:t>
            </w:r>
          </w:p>
          <w:p w14:paraId="0BED0844" w14:textId="77777777" w:rsidR="000C1070" w:rsidRPr="000C1070" w:rsidRDefault="000C1070" w:rsidP="000C1070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6CEDF13F" w14:textId="62727D70" w:rsidR="000C1070" w:rsidRPr="000C1070" w:rsidRDefault="000C1070" w:rsidP="000C10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C1070">
              <w:rPr>
                <w:rFonts w:ascii="Arial" w:hAnsi="Arial" w:cs="Arial"/>
                <w:b/>
                <w:bCs/>
                <w:lang w:val="en-US"/>
              </w:rPr>
              <w:t>Mix &amp; Assortment</w:t>
            </w:r>
            <w:r w:rsidRPr="000C1070">
              <w:rPr>
                <w:rFonts w:ascii="Arial" w:hAnsi="Arial" w:cs="Arial"/>
              </w:rPr>
              <w:t> </w:t>
            </w:r>
          </w:p>
          <w:p w14:paraId="7F4CF8D7" w14:textId="77777777" w:rsidR="000C1070" w:rsidRPr="000C1070" w:rsidRDefault="000C1070" w:rsidP="000C107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proofErr w:type="spellStart"/>
            <w:r w:rsidRPr="000C1070">
              <w:rPr>
                <w:rFonts w:ascii="Arial" w:hAnsi="Arial" w:cs="Arial"/>
                <w:lang w:val="en-US"/>
              </w:rPr>
              <w:t>Analyse</w:t>
            </w:r>
            <w:proofErr w:type="spellEnd"/>
            <w:r w:rsidRPr="000C1070">
              <w:rPr>
                <w:rFonts w:ascii="Arial" w:hAnsi="Arial" w:cs="Arial"/>
                <w:lang w:val="en-US"/>
              </w:rPr>
              <w:t> product and channel mix to highlight risks and opportunities across the portfolio.</w:t>
            </w:r>
            <w:r w:rsidRPr="000C1070">
              <w:rPr>
                <w:rFonts w:ascii="Arial" w:hAnsi="Arial" w:cs="Arial"/>
              </w:rPr>
              <w:t> </w:t>
            </w:r>
          </w:p>
          <w:p w14:paraId="077B87BF" w14:textId="796D3FF2" w:rsidR="000C1070" w:rsidRDefault="000C1070" w:rsidP="000C107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0C1070">
              <w:rPr>
                <w:rFonts w:ascii="Arial" w:hAnsi="Arial" w:cs="Arial"/>
                <w:lang w:val="en-US"/>
              </w:rPr>
              <w:lastRenderedPageBreak/>
              <w:t xml:space="preserve">Track distribution, rate of sale and </w:t>
            </w:r>
            <w:proofErr w:type="gramStart"/>
            <w:r w:rsidRPr="000C1070">
              <w:rPr>
                <w:rFonts w:ascii="Arial" w:hAnsi="Arial" w:cs="Arial"/>
                <w:lang w:val="en-US"/>
              </w:rPr>
              <w:t>mix</w:t>
            </w:r>
            <w:proofErr w:type="gramEnd"/>
            <w:r w:rsidRPr="000C1070">
              <w:rPr>
                <w:rFonts w:ascii="Arial" w:hAnsi="Arial" w:cs="Arial"/>
                <w:lang w:val="en-US"/>
              </w:rPr>
              <w:t xml:space="preserve"> trends, translating insights into recommendations for </w:t>
            </w:r>
            <w:proofErr w:type="gramStart"/>
            <w:r w:rsidRPr="000C1070">
              <w:rPr>
                <w:rFonts w:ascii="Arial" w:hAnsi="Arial" w:cs="Arial"/>
                <w:lang w:val="en-US"/>
              </w:rPr>
              <w:t>customer</w:t>
            </w:r>
            <w:proofErr w:type="gramEnd"/>
            <w:r w:rsidRPr="000C1070">
              <w:rPr>
                <w:rFonts w:ascii="Arial" w:hAnsi="Arial" w:cs="Arial"/>
                <w:lang w:val="en-US"/>
              </w:rPr>
              <w:t xml:space="preserve"> and channel plans.</w:t>
            </w:r>
            <w:r w:rsidRPr="000C1070">
              <w:rPr>
                <w:rFonts w:ascii="Arial" w:hAnsi="Arial" w:cs="Arial"/>
              </w:rPr>
              <w:t> </w:t>
            </w:r>
          </w:p>
          <w:p w14:paraId="5E76C106" w14:textId="51CEB963" w:rsidR="00D1275E" w:rsidRDefault="00D1275E" w:rsidP="000C1070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sales team </w:t>
            </w:r>
            <w:r w:rsidR="0069415E">
              <w:rPr>
                <w:rFonts w:ascii="Arial" w:hAnsi="Arial" w:cs="Arial"/>
              </w:rPr>
              <w:t>with implementation of plans or optimal adjustments in year.</w:t>
            </w:r>
          </w:p>
          <w:p w14:paraId="47615267" w14:textId="77777777" w:rsidR="00306C8F" w:rsidRPr="000C1070" w:rsidRDefault="00306C8F" w:rsidP="00306C8F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70F42719" w14:textId="618CD022" w:rsidR="00306C8F" w:rsidRPr="00306C8F" w:rsidRDefault="000C1070" w:rsidP="00306C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06C8F">
              <w:rPr>
                <w:rFonts w:ascii="Arial" w:hAnsi="Arial" w:cs="Arial"/>
                <w:b/>
                <w:bCs/>
                <w:lang w:val="en-US"/>
              </w:rPr>
              <w:t>Customer Terms &amp; Investment</w:t>
            </w:r>
            <w:r w:rsidRPr="00306C8F">
              <w:rPr>
                <w:rFonts w:ascii="Arial" w:hAnsi="Arial" w:cs="Arial"/>
              </w:rPr>
              <w:t> </w:t>
            </w:r>
          </w:p>
          <w:p w14:paraId="63D3AF70" w14:textId="712ABE2C" w:rsidR="009250C7" w:rsidRPr="009250C7" w:rsidRDefault="009250C7" w:rsidP="00306C8F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Undertake </w:t>
            </w:r>
            <w:r w:rsidR="00900DEB">
              <w:rPr>
                <w:rFonts w:ascii="Arial" w:hAnsi="Arial" w:cs="Arial"/>
              </w:rPr>
              <w:t>consistent customer P&amp;L modelling, utilising existing data sources to provide regular performance summaries.</w:t>
            </w:r>
          </w:p>
          <w:p w14:paraId="0190859F" w14:textId="1936BBEA" w:rsidR="000C1070" w:rsidRPr="00306C8F" w:rsidRDefault="000C1070" w:rsidP="00306C8F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306C8F">
              <w:rPr>
                <w:rFonts w:ascii="Arial" w:hAnsi="Arial" w:cs="Arial"/>
                <w:lang w:val="en-US"/>
              </w:rPr>
              <w:t>Support customer P&amp;L inputs through analysis of investment structures, margin impacts and </w:t>
            </w:r>
            <w:proofErr w:type="spellStart"/>
            <w:r w:rsidRPr="00306C8F">
              <w:rPr>
                <w:rFonts w:ascii="Arial" w:hAnsi="Arial" w:cs="Arial"/>
                <w:lang w:val="en-US"/>
              </w:rPr>
              <w:t>optimisation</w:t>
            </w:r>
            <w:proofErr w:type="spellEnd"/>
            <w:r w:rsidRPr="00306C8F">
              <w:rPr>
                <w:rFonts w:ascii="Arial" w:hAnsi="Arial" w:cs="Arial"/>
                <w:lang w:val="en-US"/>
              </w:rPr>
              <w:t> scenarios.</w:t>
            </w:r>
            <w:r w:rsidRPr="00306C8F">
              <w:rPr>
                <w:rFonts w:ascii="Arial" w:hAnsi="Arial" w:cs="Arial"/>
              </w:rPr>
              <w:t> </w:t>
            </w:r>
          </w:p>
          <w:p w14:paraId="2062D6BE" w14:textId="2957C31F" w:rsidR="000C1070" w:rsidRPr="000C1070" w:rsidRDefault="000C1070" w:rsidP="00306C8F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0C1070">
              <w:rPr>
                <w:rFonts w:ascii="Arial" w:hAnsi="Arial" w:cs="Arial"/>
                <w:lang w:val="en-US"/>
              </w:rPr>
              <w:t>Feed RGM insight into joint business planning and customer negotiations.</w:t>
            </w:r>
            <w:r w:rsidRPr="000C1070">
              <w:rPr>
                <w:rFonts w:ascii="Arial" w:hAnsi="Arial" w:cs="Arial"/>
              </w:rPr>
              <w:t> </w:t>
            </w:r>
            <w:r w:rsidRPr="000C1070">
              <w:rPr>
                <w:rFonts w:ascii="Arial" w:hAnsi="Arial" w:cs="Arial"/>
              </w:rPr>
              <w:br/>
            </w:r>
          </w:p>
          <w:p w14:paraId="69ECBDF5" w14:textId="3A40429C" w:rsidR="00306C8F" w:rsidRDefault="000C1070" w:rsidP="00306C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C1070">
              <w:rPr>
                <w:rFonts w:ascii="Arial" w:hAnsi="Arial" w:cs="Arial"/>
                <w:b/>
                <w:bCs/>
                <w:lang w:val="en-US"/>
              </w:rPr>
              <w:t>Reporting, Insight &amp; Tool Development</w:t>
            </w:r>
            <w:r w:rsidRPr="000C1070">
              <w:rPr>
                <w:rFonts w:ascii="Arial" w:hAnsi="Arial" w:cs="Arial"/>
              </w:rPr>
              <w:t> </w:t>
            </w:r>
          </w:p>
          <w:p w14:paraId="010811A9" w14:textId="77777777" w:rsidR="00306C8F" w:rsidRDefault="000C1070" w:rsidP="00306C8F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306C8F">
              <w:rPr>
                <w:rFonts w:ascii="Arial" w:hAnsi="Arial" w:cs="Arial"/>
                <w:lang w:val="en-US"/>
              </w:rPr>
              <w:t>Own and improve elements of the RGM reporting suite, ensuring data is accurate, timely and actionable.</w:t>
            </w:r>
            <w:r w:rsidRPr="00306C8F">
              <w:rPr>
                <w:rFonts w:ascii="Arial" w:hAnsi="Arial" w:cs="Arial"/>
              </w:rPr>
              <w:t> </w:t>
            </w:r>
          </w:p>
          <w:p w14:paraId="0B822714" w14:textId="77777777" w:rsidR="00306C8F" w:rsidRDefault="000C1070" w:rsidP="00306C8F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306C8F">
              <w:rPr>
                <w:rFonts w:ascii="Arial" w:hAnsi="Arial" w:cs="Arial"/>
                <w:lang w:val="en-US"/>
              </w:rPr>
              <w:t>Support development of dashboards, tools and models to build RGM capability across the commercial team.</w:t>
            </w:r>
            <w:r w:rsidRPr="00306C8F">
              <w:rPr>
                <w:rFonts w:ascii="Arial" w:hAnsi="Arial" w:cs="Arial"/>
              </w:rPr>
              <w:t> </w:t>
            </w:r>
          </w:p>
          <w:p w14:paraId="7B140CE9" w14:textId="77777777" w:rsidR="00306C8F" w:rsidRDefault="00306C8F" w:rsidP="00306C8F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4ECF0E56" w14:textId="6994C623" w:rsidR="000C1070" w:rsidRPr="00306C8F" w:rsidRDefault="000C1070" w:rsidP="00306C8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06C8F">
              <w:rPr>
                <w:rFonts w:ascii="Arial" w:hAnsi="Arial" w:cs="Arial"/>
                <w:b/>
                <w:bCs/>
                <w:lang w:val="en-US"/>
              </w:rPr>
              <w:t>Cross</w:t>
            </w:r>
            <w:r w:rsidRPr="00306C8F">
              <w:rPr>
                <w:rFonts w:ascii="Arial" w:hAnsi="Arial" w:cs="Arial"/>
                <w:b/>
                <w:bCs/>
                <w:lang w:val="en-US"/>
              </w:rPr>
              <w:noBreakHyphen/>
              <w:t>Functional Collaboration</w:t>
            </w:r>
            <w:r w:rsidRPr="00306C8F">
              <w:rPr>
                <w:rFonts w:ascii="Arial" w:hAnsi="Arial" w:cs="Arial"/>
              </w:rPr>
              <w:t> </w:t>
            </w:r>
          </w:p>
          <w:p w14:paraId="7865CE78" w14:textId="77777777" w:rsidR="000C1070" w:rsidRPr="000C1070" w:rsidRDefault="000C1070" w:rsidP="00306C8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C1070">
              <w:rPr>
                <w:rFonts w:ascii="Arial" w:hAnsi="Arial" w:cs="Arial"/>
                <w:lang w:val="en-US"/>
              </w:rPr>
              <w:t>Work with Sales, Finance, Marketing, Category and Insight teams to embed RGM principles in annual planning and in</w:t>
            </w:r>
            <w:r w:rsidRPr="000C1070">
              <w:rPr>
                <w:rFonts w:ascii="Arial" w:hAnsi="Arial" w:cs="Arial"/>
                <w:lang w:val="en-US"/>
              </w:rPr>
              <w:noBreakHyphen/>
              <w:t>year decision making.</w:t>
            </w:r>
            <w:r w:rsidRPr="000C1070">
              <w:rPr>
                <w:rFonts w:ascii="Arial" w:hAnsi="Arial" w:cs="Arial"/>
              </w:rPr>
              <w:t> </w:t>
            </w:r>
          </w:p>
          <w:p w14:paraId="00DCE1A0" w14:textId="5824D2E5" w:rsidR="006E7CD6" w:rsidRPr="00266BAD" w:rsidRDefault="000C1070" w:rsidP="005412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C1070">
              <w:rPr>
                <w:rFonts w:ascii="Arial" w:hAnsi="Arial" w:cs="Arial"/>
                <w:lang w:val="en-US"/>
              </w:rPr>
              <w:t>Provide clear, concise insights that help stakeholders understand performance drivers and future opportunities.</w:t>
            </w:r>
          </w:p>
          <w:p w14:paraId="43F75E06" w14:textId="6765B645" w:rsidR="00997F5C" w:rsidRPr="00B01815" w:rsidRDefault="00997F5C" w:rsidP="00186A50">
            <w:pPr>
              <w:jc w:val="both"/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 w:rsidTr="78C0ACE2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78C0ACE2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4597BE11" w14:textId="77777777" w:rsidR="0031515F" w:rsidRPr="00DF237C" w:rsidRDefault="0031515F" w:rsidP="0031515F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F237C">
              <w:rPr>
                <w:rFonts w:ascii="Arial" w:hAnsi="Arial" w:cs="Arial"/>
                <w:b/>
                <w:bCs/>
              </w:rPr>
              <w:t>Experience</w:t>
            </w:r>
          </w:p>
          <w:p w14:paraId="68D937FC" w14:textId="6E4D4D5A" w:rsidR="003677AA" w:rsidRPr="003677AA" w:rsidRDefault="003677AA" w:rsidP="003677A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3677AA">
              <w:rPr>
                <w:rFonts w:ascii="Arial" w:hAnsi="Arial" w:cs="Arial"/>
              </w:rPr>
              <w:t xml:space="preserve">Proven experience working with large, complex datasets in a commercial, finance, category, insight, or RGM function within an FMCG environment. </w:t>
            </w:r>
          </w:p>
          <w:p w14:paraId="7045A9D7" w14:textId="7AF17035" w:rsidR="003677AA" w:rsidRPr="003677AA" w:rsidRDefault="003677AA" w:rsidP="003677A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3677AA">
              <w:rPr>
                <w:rFonts w:ascii="Arial" w:hAnsi="Arial" w:cs="Arial"/>
              </w:rPr>
              <w:t xml:space="preserve">Practical exposure to retailer dynamics, category performance drivers and the commercial levers that influence revenue and margin. </w:t>
            </w:r>
          </w:p>
          <w:p w14:paraId="3B91A181" w14:textId="01C2FD9B" w:rsidR="003677AA" w:rsidRPr="003677AA" w:rsidRDefault="003677AA" w:rsidP="003677A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3677AA">
              <w:rPr>
                <w:rFonts w:ascii="Arial" w:hAnsi="Arial" w:cs="Arial"/>
              </w:rPr>
              <w:t>Experience partnering cross</w:t>
            </w:r>
            <w:r w:rsidRPr="003677AA">
              <w:rPr>
                <w:rFonts w:ascii="Arial" w:hAnsi="Arial" w:cs="Arial"/>
              </w:rPr>
              <w:noBreakHyphen/>
              <w:t xml:space="preserve">functionally (e.g. Sales, Finance, Marketing, Supply Chain) to translate analytical outputs into commercial actions. </w:t>
            </w:r>
          </w:p>
          <w:p w14:paraId="5CEDAA34" w14:textId="0F0BFAB4" w:rsidR="003677AA" w:rsidRPr="003677AA" w:rsidRDefault="003677AA" w:rsidP="003677A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3677AA">
              <w:rPr>
                <w:rFonts w:ascii="Arial" w:hAnsi="Arial" w:cs="Arial"/>
              </w:rPr>
              <w:t>Demonstrated ability to support pricing, promotions, pack architecture or customer investment analysis using industry</w:t>
            </w:r>
            <w:r w:rsidRPr="003677AA">
              <w:rPr>
                <w:rFonts w:ascii="Arial" w:hAnsi="Arial" w:cs="Arial"/>
              </w:rPr>
              <w:noBreakHyphen/>
              <w:t xml:space="preserve">standard data sources (such as Nielsen, Kantar, Dunnhumby or retailer EPOS). </w:t>
            </w:r>
          </w:p>
          <w:p w14:paraId="24A76CA7" w14:textId="551DA9EA" w:rsidR="003677AA" w:rsidRPr="003677AA" w:rsidRDefault="003677AA" w:rsidP="003677A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3677AA">
              <w:rPr>
                <w:rFonts w:ascii="Arial" w:hAnsi="Arial" w:cs="Arial"/>
              </w:rPr>
              <w:t>Experience contributing to planning cycles, performance tracking or building reporting suites that improve decision</w:t>
            </w:r>
            <w:r w:rsidRPr="003677AA">
              <w:rPr>
                <w:rFonts w:ascii="Arial" w:hAnsi="Arial" w:cs="Arial"/>
              </w:rPr>
              <w:noBreakHyphen/>
              <w:t>making quality.</w:t>
            </w:r>
          </w:p>
          <w:p w14:paraId="6FB34B4F" w14:textId="77777777" w:rsidR="0031515F" w:rsidRDefault="0031515F" w:rsidP="0031515F">
            <w:pPr>
              <w:pStyle w:val="ListParagraph"/>
              <w:spacing w:after="160" w:line="259" w:lineRule="auto"/>
              <w:ind w:left="1080"/>
              <w:rPr>
                <w:rFonts w:ascii="Arial" w:hAnsi="Arial" w:cs="Arial"/>
              </w:rPr>
            </w:pPr>
          </w:p>
          <w:p w14:paraId="4C5D18AC" w14:textId="77777777" w:rsidR="0031515F" w:rsidRPr="00F31C1F" w:rsidRDefault="0031515F" w:rsidP="0031515F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31C1F">
              <w:rPr>
                <w:rFonts w:ascii="Arial" w:hAnsi="Arial" w:cs="Arial"/>
                <w:b/>
                <w:bCs/>
              </w:rPr>
              <w:t>Technical and Analytical Skills</w:t>
            </w:r>
          </w:p>
          <w:p w14:paraId="47BEFF51" w14:textId="76CC5D9D" w:rsidR="00A308CE" w:rsidRPr="00A308CE" w:rsidRDefault="00A308CE" w:rsidP="00A308C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A308CE">
              <w:rPr>
                <w:rFonts w:ascii="Arial" w:hAnsi="Arial" w:cs="Arial"/>
              </w:rPr>
              <w:t xml:space="preserve">Strong data manipulation skills with the ability to structure, clean and analyse large datasets efficiently. </w:t>
            </w:r>
          </w:p>
          <w:p w14:paraId="0555A118" w14:textId="0D24DD94" w:rsidR="00A308CE" w:rsidRPr="00A308CE" w:rsidRDefault="00A308CE" w:rsidP="00A308C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A308CE">
              <w:rPr>
                <w:rFonts w:ascii="Arial" w:hAnsi="Arial" w:cs="Arial"/>
              </w:rPr>
              <w:t xml:space="preserve">Advanced proficiency in Excel, including complex formulas, pivot tables, scenario modelling and data visualisation. </w:t>
            </w:r>
          </w:p>
          <w:p w14:paraId="4111C0F4" w14:textId="2FF372A3" w:rsidR="00A308CE" w:rsidRPr="00A308CE" w:rsidRDefault="00A308CE" w:rsidP="00A308C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A308CE">
              <w:rPr>
                <w:rFonts w:ascii="Arial" w:hAnsi="Arial" w:cs="Arial"/>
              </w:rPr>
              <w:t xml:space="preserve">Working knowledge of BI tools such as Power BI, including building dashboards, visualisations and automated reporting. </w:t>
            </w:r>
          </w:p>
          <w:p w14:paraId="6124230F" w14:textId="5EC6ABD4" w:rsidR="00A308CE" w:rsidRPr="00A308CE" w:rsidRDefault="00A308CE" w:rsidP="00A308C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A308CE">
              <w:rPr>
                <w:rFonts w:ascii="Arial" w:hAnsi="Arial" w:cs="Arial"/>
              </w:rPr>
              <w:t xml:space="preserve">Ability to interpret pricing metrics (e.g., ARP, £/kg, VOD), promotional ROI measures and mix analysis to identify margin, revenue or efficiency opportunities. </w:t>
            </w:r>
          </w:p>
          <w:p w14:paraId="4261EF29" w14:textId="1AE5D299" w:rsidR="00A308CE" w:rsidRPr="00A308CE" w:rsidRDefault="00A308CE" w:rsidP="00A308C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A308CE">
              <w:rPr>
                <w:rFonts w:ascii="Arial" w:hAnsi="Arial" w:cs="Arial"/>
              </w:rPr>
              <w:t xml:space="preserve">Comfortable working across multiple data inputs and systems to create accurate, coherent analytical outputs and recommendations. </w:t>
            </w:r>
          </w:p>
          <w:p w14:paraId="6C688B65" w14:textId="77777777" w:rsidR="0031515F" w:rsidRDefault="0031515F" w:rsidP="0031515F">
            <w:pPr>
              <w:pStyle w:val="ListParagraph"/>
              <w:spacing w:after="160" w:line="259" w:lineRule="auto"/>
              <w:ind w:left="1080"/>
              <w:rPr>
                <w:rFonts w:ascii="Arial" w:hAnsi="Arial" w:cs="Arial"/>
              </w:rPr>
            </w:pPr>
          </w:p>
          <w:p w14:paraId="34B21141" w14:textId="77777777" w:rsidR="003320FB" w:rsidRDefault="003320FB" w:rsidP="0031515F">
            <w:pPr>
              <w:pStyle w:val="ListParagraph"/>
              <w:spacing w:after="160" w:line="259" w:lineRule="auto"/>
              <w:ind w:left="1080"/>
              <w:rPr>
                <w:rFonts w:ascii="Arial" w:hAnsi="Arial" w:cs="Arial"/>
              </w:rPr>
            </w:pPr>
          </w:p>
          <w:p w14:paraId="508CB9A9" w14:textId="77777777" w:rsidR="003320FB" w:rsidRDefault="003320FB" w:rsidP="0031515F">
            <w:pPr>
              <w:pStyle w:val="ListParagraph"/>
              <w:spacing w:after="160" w:line="259" w:lineRule="auto"/>
              <w:ind w:left="1080"/>
              <w:rPr>
                <w:rFonts w:ascii="Arial" w:hAnsi="Arial" w:cs="Arial"/>
              </w:rPr>
            </w:pPr>
          </w:p>
          <w:p w14:paraId="4BA075E2" w14:textId="77777777" w:rsidR="003320FB" w:rsidRDefault="003320FB" w:rsidP="0031515F">
            <w:pPr>
              <w:pStyle w:val="ListParagraph"/>
              <w:spacing w:after="160" w:line="259" w:lineRule="auto"/>
              <w:ind w:left="1080"/>
              <w:rPr>
                <w:rFonts w:ascii="Arial" w:hAnsi="Arial" w:cs="Arial"/>
              </w:rPr>
            </w:pPr>
          </w:p>
          <w:p w14:paraId="01B8A186" w14:textId="77777777" w:rsidR="0031515F" w:rsidRPr="00025C72" w:rsidRDefault="0031515F" w:rsidP="0031515F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025C72">
              <w:rPr>
                <w:rFonts w:ascii="Arial" w:hAnsi="Arial" w:cs="Arial"/>
                <w:b/>
                <w:bCs/>
              </w:rPr>
              <w:t>Personal Capabilities</w:t>
            </w:r>
          </w:p>
          <w:p w14:paraId="4C26A351" w14:textId="237D5ED2" w:rsidR="00981EF5" w:rsidRPr="00981EF5" w:rsidRDefault="00981EF5" w:rsidP="00981E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981EF5">
              <w:rPr>
                <w:rFonts w:ascii="Arial" w:hAnsi="Arial" w:cs="Arial"/>
              </w:rPr>
              <w:t>Ability to translate complex datasets into clear, concise and commercially relevant narratives for non</w:t>
            </w:r>
            <w:r w:rsidRPr="00981EF5">
              <w:rPr>
                <w:rFonts w:ascii="Arial" w:hAnsi="Arial" w:cs="Arial"/>
              </w:rPr>
              <w:noBreakHyphen/>
              <w:t xml:space="preserve">technical stakeholders. </w:t>
            </w:r>
          </w:p>
          <w:p w14:paraId="015447C0" w14:textId="65C53D10" w:rsidR="00981EF5" w:rsidRPr="00981EF5" w:rsidRDefault="00981EF5" w:rsidP="00981E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981EF5">
              <w:rPr>
                <w:rFonts w:ascii="Arial" w:hAnsi="Arial" w:cs="Arial"/>
              </w:rPr>
              <w:t>Strong problem</w:t>
            </w:r>
            <w:r w:rsidRPr="00981EF5">
              <w:rPr>
                <w:rFonts w:ascii="Arial" w:hAnsi="Arial" w:cs="Arial"/>
              </w:rPr>
              <w:noBreakHyphen/>
              <w:t xml:space="preserve">solving mindset with a proactive approach to identifying issues, testing hypotheses and generating solutions. </w:t>
            </w:r>
          </w:p>
          <w:p w14:paraId="195144C1" w14:textId="4B67D46F" w:rsidR="00981EF5" w:rsidRPr="00981EF5" w:rsidRDefault="00981EF5" w:rsidP="00981E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981EF5">
              <w:rPr>
                <w:rFonts w:ascii="Arial" w:hAnsi="Arial" w:cs="Arial"/>
              </w:rPr>
              <w:t xml:space="preserve">High attention to detail, ensuring accuracy in reporting, modelling and insight outputs. </w:t>
            </w:r>
          </w:p>
          <w:p w14:paraId="5DC755D6" w14:textId="22852A00" w:rsidR="00981EF5" w:rsidRPr="00981EF5" w:rsidRDefault="00981EF5" w:rsidP="00981E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981EF5">
              <w:rPr>
                <w:rFonts w:ascii="Arial" w:hAnsi="Arial" w:cs="Arial"/>
              </w:rPr>
              <w:t xml:space="preserve">Effective communicator with confidence to challenge assumptions, influence decisions and support stakeholders in understanding performance drivers. </w:t>
            </w:r>
          </w:p>
          <w:p w14:paraId="4334E126" w14:textId="756AA3EB" w:rsidR="00981EF5" w:rsidRPr="00981EF5" w:rsidRDefault="00981EF5" w:rsidP="00981E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981EF5">
              <w:rPr>
                <w:rFonts w:ascii="Arial" w:hAnsi="Arial" w:cs="Arial"/>
              </w:rPr>
              <w:t>Organised, structured and able to manage multiple priorities in a fast</w:t>
            </w:r>
            <w:r w:rsidRPr="00981EF5">
              <w:rPr>
                <w:rFonts w:ascii="Arial" w:hAnsi="Arial" w:cs="Arial"/>
              </w:rPr>
              <w:noBreakHyphen/>
              <w:t xml:space="preserve">paced environment with changing commercial demands. </w:t>
            </w:r>
          </w:p>
          <w:p w14:paraId="5EAE4E43" w14:textId="30B86378" w:rsidR="00981EF5" w:rsidRPr="00981EF5" w:rsidRDefault="00981EF5" w:rsidP="00981E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080"/>
              <w:rPr>
                <w:rFonts w:ascii="Arial" w:hAnsi="Arial" w:cs="Arial"/>
              </w:rPr>
            </w:pPr>
            <w:r w:rsidRPr="00981EF5">
              <w:rPr>
                <w:rFonts w:ascii="Arial" w:hAnsi="Arial" w:cs="Arial"/>
              </w:rPr>
              <w:t>Collaborative team player who contributes to building RGM capability and embedding revenue</w:t>
            </w:r>
            <w:r w:rsidRPr="00981EF5">
              <w:rPr>
                <w:rFonts w:ascii="Arial" w:hAnsi="Arial" w:cs="Arial"/>
              </w:rPr>
              <w:noBreakHyphen/>
              <w:t>focused thinking across the business</w:t>
            </w:r>
          </w:p>
          <w:p w14:paraId="45566247" w14:textId="405BD634" w:rsidR="00B668AC" w:rsidRPr="004A3010" w:rsidRDefault="00B668AC" w:rsidP="001F1869">
            <w:pPr>
              <w:pStyle w:val="ListParagraph"/>
              <w:spacing w:after="160" w:line="259" w:lineRule="auto"/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 w:rsidTr="78C0ACE2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00322765">
        <w:trPr>
          <w:trHeight w:val="360"/>
        </w:trPr>
        <w:tc>
          <w:tcPr>
            <w:tcW w:w="2554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53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EB64F3" w:rsidRPr="008B3B59" w14:paraId="64893145" w14:textId="77777777" w:rsidTr="00322765">
        <w:trPr>
          <w:trHeight w:val="671"/>
        </w:trPr>
        <w:tc>
          <w:tcPr>
            <w:tcW w:w="2554" w:type="dxa"/>
          </w:tcPr>
          <w:p w14:paraId="52CBB55E" w14:textId="31D2237A" w:rsidR="00EB64F3" w:rsidRPr="0083787B" w:rsidRDefault="00EB64F3" w:rsidP="00EB64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53" w:type="dxa"/>
            <w:gridSpan w:val="3"/>
          </w:tcPr>
          <w:p w14:paraId="6BF9ADB0" w14:textId="4190340A" w:rsidR="00EB64F3" w:rsidRPr="00EB64F3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>treated with dignity and respect at all times</w:t>
            </w:r>
            <w:proofErr w:type="gramEnd"/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EB64F3" w:rsidRPr="008B3B59" w14:paraId="4C6B67F2" w14:textId="77777777" w:rsidTr="00322765">
        <w:trPr>
          <w:trHeight w:val="671"/>
        </w:trPr>
        <w:tc>
          <w:tcPr>
            <w:tcW w:w="2554" w:type="dxa"/>
          </w:tcPr>
          <w:p w14:paraId="7E34197A" w14:textId="4E98D269" w:rsidR="00EB64F3" w:rsidRPr="0083787B" w:rsidRDefault="00EB64F3" w:rsidP="00EB64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53" w:type="dxa"/>
            <w:gridSpan w:val="3"/>
          </w:tcPr>
          <w:p w14:paraId="2FC24F5D" w14:textId="4D16DD68" w:rsidR="00EB64F3" w:rsidRPr="00EB64F3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en"/>
              </w:rPr>
            </w:pPr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EB64F3" w:rsidRPr="008B3B59" w14:paraId="01D13B7C" w14:textId="77777777" w:rsidTr="00322765">
        <w:trPr>
          <w:trHeight w:val="671"/>
        </w:trPr>
        <w:tc>
          <w:tcPr>
            <w:tcW w:w="2554" w:type="dxa"/>
          </w:tcPr>
          <w:p w14:paraId="4F7F7B7D" w14:textId="5E34B211" w:rsidR="00EB64F3" w:rsidRPr="0083787B" w:rsidRDefault="00EB64F3" w:rsidP="00EB64F3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53" w:type="dxa"/>
            <w:gridSpan w:val="3"/>
          </w:tcPr>
          <w:p w14:paraId="773D32C2" w14:textId="75F315BE" w:rsidR="00EB64F3" w:rsidRPr="00EB64F3" w:rsidRDefault="00EB64F3" w:rsidP="00EB64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EB64F3" w:rsidRPr="008B3B59" w14:paraId="3B96D8A6" w14:textId="77777777" w:rsidTr="00322765">
        <w:trPr>
          <w:trHeight w:val="671"/>
        </w:trPr>
        <w:tc>
          <w:tcPr>
            <w:tcW w:w="2554" w:type="dxa"/>
          </w:tcPr>
          <w:p w14:paraId="52E3B307" w14:textId="27B500DD" w:rsidR="00EB64F3" w:rsidRPr="0083787B" w:rsidRDefault="00EB64F3" w:rsidP="00EB64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53" w:type="dxa"/>
            <w:gridSpan w:val="3"/>
          </w:tcPr>
          <w:p w14:paraId="0457E91E" w14:textId="5F873433" w:rsidR="00EB64F3" w:rsidRPr="00EB64F3" w:rsidRDefault="00EB64F3" w:rsidP="00EB64F3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ability to change and adapt your behaviour or work procedures when there is a change in the work environment, for example </w:t>
            </w:r>
            <w:proofErr w:type="gramStart"/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EB64F3" w:rsidRPr="008B3B59" w14:paraId="03D0115A" w14:textId="77777777" w:rsidTr="00322765">
        <w:trPr>
          <w:trHeight w:val="671"/>
        </w:trPr>
        <w:tc>
          <w:tcPr>
            <w:tcW w:w="2554" w:type="dxa"/>
          </w:tcPr>
          <w:p w14:paraId="5F928F63" w14:textId="07F88CA7" w:rsidR="00EB64F3" w:rsidRPr="0083787B" w:rsidRDefault="00EB64F3" w:rsidP="00EB64F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53" w:type="dxa"/>
            <w:gridSpan w:val="3"/>
          </w:tcPr>
          <w:p w14:paraId="1493C3ED" w14:textId="1B0E9ED9" w:rsidR="00EB64F3" w:rsidRPr="00EB64F3" w:rsidRDefault="00EB64F3" w:rsidP="00EB64F3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EB64F3">
              <w:rPr>
                <w:rFonts w:ascii="Arial" w:hAnsi="Arial" w:cs="Arial"/>
                <w:i/>
                <w:iCs/>
                <w:sz w:val="22"/>
                <w:szCs w:val="22"/>
              </w:rPr>
              <w:t>Steps up to take personal responsibility and accountability for tasks in line with our purpose statement and our Company values.</w:t>
            </w:r>
          </w:p>
        </w:tc>
      </w:tr>
      <w:tr w:rsidR="00952B92" w:rsidRPr="008B3B59" w14:paraId="55D0F3F9" w14:textId="77777777" w:rsidTr="00322765">
        <w:trPr>
          <w:trHeight w:val="621"/>
        </w:trPr>
        <w:tc>
          <w:tcPr>
            <w:tcW w:w="2554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53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322765">
        <w:trPr>
          <w:trHeight w:val="559"/>
        </w:trPr>
        <w:tc>
          <w:tcPr>
            <w:tcW w:w="2554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53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322765">
        <w:trPr>
          <w:trHeight w:val="584"/>
        </w:trPr>
        <w:tc>
          <w:tcPr>
            <w:tcW w:w="2554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53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322765">
        <w:trPr>
          <w:trHeight w:val="831"/>
        </w:trPr>
        <w:tc>
          <w:tcPr>
            <w:tcW w:w="2554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53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F350" w14:textId="77777777" w:rsidR="00953AEC" w:rsidRDefault="00953AEC">
      <w:r>
        <w:separator/>
      </w:r>
    </w:p>
  </w:endnote>
  <w:endnote w:type="continuationSeparator" w:id="0">
    <w:p w14:paraId="456118B8" w14:textId="77777777" w:rsidR="00953AEC" w:rsidRDefault="00953AEC">
      <w:r>
        <w:continuationSeparator/>
      </w:r>
    </w:p>
  </w:endnote>
  <w:endnote w:type="continuationNotice" w:id="1">
    <w:p w14:paraId="095EF8EA" w14:textId="77777777" w:rsidR="00953AEC" w:rsidRDefault="00953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B0E3" w14:textId="77777777" w:rsidR="00953AEC" w:rsidRDefault="00953AEC">
      <w:r>
        <w:separator/>
      </w:r>
    </w:p>
  </w:footnote>
  <w:footnote w:type="continuationSeparator" w:id="0">
    <w:p w14:paraId="0762603B" w14:textId="77777777" w:rsidR="00953AEC" w:rsidRDefault="00953AEC">
      <w:r>
        <w:continuationSeparator/>
      </w:r>
    </w:p>
  </w:footnote>
  <w:footnote w:type="continuationNotice" w:id="1">
    <w:p w14:paraId="33E3C410" w14:textId="77777777" w:rsidR="00953AEC" w:rsidRDefault="00953A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84C"/>
    <w:multiLevelType w:val="hybridMultilevel"/>
    <w:tmpl w:val="94C02780"/>
    <w:lvl w:ilvl="0" w:tplc="A7D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965"/>
    <w:multiLevelType w:val="multilevel"/>
    <w:tmpl w:val="3D9E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F2C2D"/>
    <w:multiLevelType w:val="hybridMultilevel"/>
    <w:tmpl w:val="D2F225E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D426A"/>
    <w:multiLevelType w:val="multilevel"/>
    <w:tmpl w:val="4A6E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477C92"/>
    <w:multiLevelType w:val="multilevel"/>
    <w:tmpl w:val="89F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AB061E"/>
    <w:multiLevelType w:val="multilevel"/>
    <w:tmpl w:val="A4F8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9A2437"/>
    <w:multiLevelType w:val="multilevel"/>
    <w:tmpl w:val="27A2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C67764"/>
    <w:multiLevelType w:val="hybridMultilevel"/>
    <w:tmpl w:val="F43E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86D6D"/>
    <w:multiLevelType w:val="hybridMultilevel"/>
    <w:tmpl w:val="1DC8CCA0"/>
    <w:lvl w:ilvl="0" w:tplc="FD1EF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21B08"/>
    <w:multiLevelType w:val="multilevel"/>
    <w:tmpl w:val="8D32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1342F4"/>
    <w:multiLevelType w:val="multilevel"/>
    <w:tmpl w:val="B302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B67ACC"/>
    <w:multiLevelType w:val="multilevel"/>
    <w:tmpl w:val="70F6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134EE6"/>
    <w:multiLevelType w:val="multilevel"/>
    <w:tmpl w:val="37E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9B3F3C"/>
    <w:multiLevelType w:val="hybridMultilevel"/>
    <w:tmpl w:val="268AB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B5B97"/>
    <w:multiLevelType w:val="multilevel"/>
    <w:tmpl w:val="DA6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94463F"/>
    <w:multiLevelType w:val="multilevel"/>
    <w:tmpl w:val="58C2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B22165"/>
    <w:multiLevelType w:val="hybridMultilevel"/>
    <w:tmpl w:val="97D06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03C5A"/>
    <w:multiLevelType w:val="multilevel"/>
    <w:tmpl w:val="06FE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8802F8"/>
    <w:multiLevelType w:val="multilevel"/>
    <w:tmpl w:val="373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4263B2"/>
    <w:multiLevelType w:val="hybridMultilevel"/>
    <w:tmpl w:val="E974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44C5D"/>
    <w:multiLevelType w:val="multilevel"/>
    <w:tmpl w:val="B986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05264F"/>
    <w:multiLevelType w:val="hybridMultilevel"/>
    <w:tmpl w:val="D1FEBA30"/>
    <w:lvl w:ilvl="0" w:tplc="A7D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0D1E"/>
    <w:multiLevelType w:val="multilevel"/>
    <w:tmpl w:val="CEAC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545054">
    <w:abstractNumId w:val="20"/>
  </w:num>
  <w:num w:numId="2" w16cid:durableId="1551842725">
    <w:abstractNumId w:val="23"/>
  </w:num>
  <w:num w:numId="3" w16cid:durableId="231235501">
    <w:abstractNumId w:val="8"/>
  </w:num>
  <w:num w:numId="4" w16cid:durableId="1268271038">
    <w:abstractNumId w:val="22"/>
  </w:num>
  <w:num w:numId="5" w16cid:durableId="1625041992">
    <w:abstractNumId w:val="0"/>
  </w:num>
  <w:num w:numId="6" w16cid:durableId="1768428112">
    <w:abstractNumId w:val="7"/>
  </w:num>
  <w:num w:numId="7" w16cid:durableId="2056267670">
    <w:abstractNumId w:val="19"/>
  </w:num>
  <w:num w:numId="8" w16cid:durableId="1442846131">
    <w:abstractNumId w:val="15"/>
  </w:num>
  <w:num w:numId="9" w16cid:durableId="268122402">
    <w:abstractNumId w:val="14"/>
  </w:num>
  <w:num w:numId="10" w16cid:durableId="1683507843">
    <w:abstractNumId w:val="17"/>
  </w:num>
  <w:num w:numId="11" w16cid:durableId="714934807">
    <w:abstractNumId w:val="10"/>
  </w:num>
  <w:num w:numId="12" w16cid:durableId="1674185633">
    <w:abstractNumId w:val="16"/>
  </w:num>
  <w:num w:numId="13" w16cid:durableId="1283263946">
    <w:abstractNumId w:val="9"/>
  </w:num>
  <w:num w:numId="14" w16cid:durableId="518274051">
    <w:abstractNumId w:val="3"/>
  </w:num>
  <w:num w:numId="15" w16cid:durableId="792331997">
    <w:abstractNumId w:val="21"/>
  </w:num>
  <w:num w:numId="16" w16cid:durableId="1127242713">
    <w:abstractNumId w:val="18"/>
  </w:num>
  <w:num w:numId="17" w16cid:durableId="2066832627">
    <w:abstractNumId w:val="11"/>
  </w:num>
  <w:num w:numId="18" w16cid:durableId="1870407049">
    <w:abstractNumId w:val="1"/>
  </w:num>
  <w:num w:numId="19" w16cid:durableId="1507741602">
    <w:abstractNumId w:val="4"/>
  </w:num>
  <w:num w:numId="20" w16cid:durableId="1251308324">
    <w:abstractNumId w:val="6"/>
  </w:num>
  <w:num w:numId="21" w16cid:durableId="2122338240">
    <w:abstractNumId w:val="24"/>
  </w:num>
  <w:num w:numId="22" w16cid:durableId="1488014752">
    <w:abstractNumId w:val="5"/>
  </w:num>
  <w:num w:numId="23" w16cid:durableId="857080307">
    <w:abstractNumId w:val="12"/>
  </w:num>
  <w:num w:numId="24" w16cid:durableId="67730619">
    <w:abstractNumId w:val="2"/>
  </w:num>
  <w:num w:numId="25" w16cid:durableId="1272129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6CA4"/>
    <w:rsid w:val="00032D37"/>
    <w:rsid w:val="00037A89"/>
    <w:rsid w:val="00042316"/>
    <w:rsid w:val="00064659"/>
    <w:rsid w:val="00073892"/>
    <w:rsid w:val="00096756"/>
    <w:rsid w:val="000A0628"/>
    <w:rsid w:val="000C1070"/>
    <w:rsid w:val="000D45F1"/>
    <w:rsid w:val="000E1CC7"/>
    <w:rsid w:val="000E6043"/>
    <w:rsid w:val="001777CF"/>
    <w:rsid w:val="00186A50"/>
    <w:rsid w:val="00187B9E"/>
    <w:rsid w:val="001B2A82"/>
    <w:rsid w:val="001B369B"/>
    <w:rsid w:val="001B53B6"/>
    <w:rsid w:val="001C0271"/>
    <w:rsid w:val="001C1BFA"/>
    <w:rsid w:val="001F1869"/>
    <w:rsid w:val="00234FCB"/>
    <w:rsid w:val="0024375D"/>
    <w:rsid w:val="00247CD4"/>
    <w:rsid w:val="002528A4"/>
    <w:rsid w:val="00266BAD"/>
    <w:rsid w:val="00281096"/>
    <w:rsid w:val="0028364B"/>
    <w:rsid w:val="002860D0"/>
    <w:rsid w:val="00290C62"/>
    <w:rsid w:val="00292E26"/>
    <w:rsid w:val="002A3BA2"/>
    <w:rsid w:val="002C0138"/>
    <w:rsid w:val="002D13BE"/>
    <w:rsid w:val="00306C8F"/>
    <w:rsid w:val="00312B55"/>
    <w:rsid w:val="0031515F"/>
    <w:rsid w:val="003168DA"/>
    <w:rsid w:val="0032144B"/>
    <w:rsid w:val="003221B0"/>
    <w:rsid w:val="00322765"/>
    <w:rsid w:val="0032322A"/>
    <w:rsid w:val="003320FB"/>
    <w:rsid w:val="0033245B"/>
    <w:rsid w:val="003437D3"/>
    <w:rsid w:val="003677AA"/>
    <w:rsid w:val="00397D8A"/>
    <w:rsid w:val="003D530B"/>
    <w:rsid w:val="003D56FE"/>
    <w:rsid w:val="003D6E0E"/>
    <w:rsid w:val="003E1940"/>
    <w:rsid w:val="003F02C6"/>
    <w:rsid w:val="00426B7A"/>
    <w:rsid w:val="004509D4"/>
    <w:rsid w:val="00496895"/>
    <w:rsid w:val="00497F3D"/>
    <w:rsid w:val="004A3010"/>
    <w:rsid w:val="004B46F0"/>
    <w:rsid w:val="00507BF3"/>
    <w:rsid w:val="00523742"/>
    <w:rsid w:val="00527F8E"/>
    <w:rsid w:val="00541277"/>
    <w:rsid w:val="00544E16"/>
    <w:rsid w:val="00587004"/>
    <w:rsid w:val="005918FC"/>
    <w:rsid w:val="005A3584"/>
    <w:rsid w:val="005B298A"/>
    <w:rsid w:val="005B647C"/>
    <w:rsid w:val="005C78E4"/>
    <w:rsid w:val="005D2276"/>
    <w:rsid w:val="005E1DFB"/>
    <w:rsid w:val="005E2881"/>
    <w:rsid w:val="005F0B21"/>
    <w:rsid w:val="00610E2C"/>
    <w:rsid w:val="0063410A"/>
    <w:rsid w:val="00634F55"/>
    <w:rsid w:val="00680CF8"/>
    <w:rsid w:val="0069415E"/>
    <w:rsid w:val="00696E69"/>
    <w:rsid w:val="006A222E"/>
    <w:rsid w:val="006A736E"/>
    <w:rsid w:val="006E3DEE"/>
    <w:rsid w:val="006E7CD6"/>
    <w:rsid w:val="0072661B"/>
    <w:rsid w:val="00731147"/>
    <w:rsid w:val="00760CFA"/>
    <w:rsid w:val="0076431C"/>
    <w:rsid w:val="00775228"/>
    <w:rsid w:val="00792F7A"/>
    <w:rsid w:val="00796640"/>
    <w:rsid w:val="007A40D1"/>
    <w:rsid w:val="007B1183"/>
    <w:rsid w:val="007B1677"/>
    <w:rsid w:val="007B46AA"/>
    <w:rsid w:val="007B571F"/>
    <w:rsid w:val="007C0D56"/>
    <w:rsid w:val="007C298C"/>
    <w:rsid w:val="007C6F24"/>
    <w:rsid w:val="007F13B0"/>
    <w:rsid w:val="00800B18"/>
    <w:rsid w:val="00807480"/>
    <w:rsid w:val="008210BE"/>
    <w:rsid w:val="00832C15"/>
    <w:rsid w:val="0083787B"/>
    <w:rsid w:val="00852CA7"/>
    <w:rsid w:val="00854D56"/>
    <w:rsid w:val="00861A5C"/>
    <w:rsid w:val="0086601D"/>
    <w:rsid w:val="00885598"/>
    <w:rsid w:val="00887E4B"/>
    <w:rsid w:val="00891EE7"/>
    <w:rsid w:val="008B0172"/>
    <w:rsid w:val="008B3B59"/>
    <w:rsid w:val="008B440B"/>
    <w:rsid w:val="008C4EE5"/>
    <w:rsid w:val="008F21EC"/>
    <w:rsid w:val="008F40F9"/>
    <w:rsid w:val="008F55D6"/>
    <w:rsid w:val="00900DEB"/>
    <w:rsid w:val="00917628"/>
    <w:rsid w:val="009250C7"/>
    <w:rsid w:val="00925357"/>
    <w:rsid w:val="00932044"/>
    <w:rsid w:val="00952B92"/>
    <w:rsid w:val="00953AEC"/>
    <w:rsid w:val="00962B9C"/>
    <w:rsid w:val="00981EF5"/>
    <w:rsid w:val="00997F5C"/>
    <w:rsid w:val="009A382E"/>
    <w:rsid w:val="009B2087"/>
    <w:rsid w:val="00A11243"/>
    <w:rsid w:val="00A308CE"/>
    <w:rsid w:val="00A33372"/>
    <w:rsid w:val="00A54049"/>
    <w:rsid w:val="00A71D53"/>
    <w:rsid w:val="00A95C31"/>
    <w:rsid w:val="00AA05B5"/>
    <w:rsid w:val="00AA6A26"/>
    <w:rsid w:val="00AB1E4E"/>
    <w:rsid w:val="00AC5668"/>
    <w:rsid w:val="00AE3391"/>
    <w:rsid w:val="00AE45CF"/>
    <w:rsid w:val="00B000D0"/>
    <w:rsid w:val="00B01815"/>
    <w:rsid w:val="00B14520"/>
    <w:rsid w:val="00B324CF"/>
    <w:rsid w:val="00B54FA1"/>
    <w:rsid w:val="00B668AC"/>
    <w:rsid w:val="00B86BD9"/>
    <w:rsid w:val="00B90F98"/>
    <w:rsid w:val="00BA4BD3"/>
    <w:rsid w:val="00BB1310"/>
    <w:rsid w:val="00BE5B63"/>
    <w:rsid w:val="00BF345C"/>
    <w:rsid w:val="00C07858"/>
    <w:rsid w:val="00C509CC"/>
    <w:rsid w:val="00C51260"/>
    <w:rsid w:val="00C60C58"/>
    <w:rsid w:val="00C75CE6"/>
    <w:rsid w:val="00C76B08"/>
    <w:rsid w:val="00C82F83"/>
    <w:rsid w:val="00CB7ACE"/>
    <w:rsid w:val="00CC522C"/>
    <w:rsid w:val="00CD023D"/>
    <w:rsid w:val="00CD3772"/>
    <w:rsid w:val="00CE1BB9"/>
    <w:rsid w:val="00CF0529"/>
    <w:rsid w:val="00CF50C0"/>
    <w:rsid w:val="00D107DE"/>
    <w:rsid w:val="00D1275E"/>
    <w:rsid w:val="00D156CF"/>
    <w:rsid w:val="00D25A13"/>
    <w:rsid w:val="00D62A30"/>
    <w:rsid w:val="00D6677C"/>
    <w:rsid w:val="00D760E8"/>
    <w:rsid w:val="00D924EA"/>
    <w:rsid w:val="00DC20C4"/>
    <w:rsid w:val="00DD6A01"/>
    <w:rsid w:val="00DE1919"/>
    <w:rsid w:val="00E37C0E"/>
    <w:rsid w:val="00E50428"/>
    <w:rsid w:val="00E77BDA"/>
    <w:rsid w:val="00E92650"/>
    <w:rsid w:val="00E93627"/>
    <w:rsid w:val="00EB64F3"/>
    <w:rsid w:val="00EC1FD8"/>
    <w:rsid w:val="00EC40EB"/>
    <w:rsid w:val="00EC5F49"/>
    <w:rsid w:val="00ED032A"/>
    <w:rsid w:val="00ED78A1"/>
    <w:rsid w:val="00EE2B26"/>
    <w:rsid w:val="00EE74A6"/>
    <w:rsid w:val="00F04B4E"/>
    <w:rsid w:val="00F176F0"/>
    <w:rsid w:val="00F310DA"/>
    <w:rsid w:val="00F723B0"/>
    <w:rsid w:val="00F737DC"/>
    <w:rsid w:val="00F97A2B"/>
    <w:rsid w:val="00FB3C40"/>
    <w:rsid w:val="00FD112B"/>
    <w:rsid w:val="00FE51FA"/>
    <w:rsid w:val="00FF520C"/>
    <w:rsid w:val="00FF7C13"/>
    <w:rsid w:val="05E43169"/>
    <w:rsid w:val="0695A525"/>
    <w:rsid w:val="0AC45261"/>
    <w:rsid w:val="0F3628FD"/>
    <w:rsid w:val="0F72D868"/>
    <w:rsid w:val="1853255B"/>
    <w:rsid w:val="1B2368ED"/>
    <w:rsid w:val="1BD5F0B7"/>
    <w:rsid w:val="295CFDDD"/>
    <w:rsid w:val="2A577517"/>
    <w:rsid w:val="2BE1143D"/>
    <w:rsid w:val="2E2AB0A1"/>
    <w:rsid w:val="37704C18"/>
    <w:rsid w:val="3B76E266"/>
    <w:rsid w:val="5259AC17"/>
    <w:rsid w:val="561DDE2E"/>
    <w:rsid w:val="5AA1843D"/>
    <w:rsid w:val="5F3CCF73"/>
    <w:rsid w:val="66A99593"/>
    <w:rsid w:val="6A4E8846"/>
    <w:rsid w:val="6F23B9CA"/>
    <w:rsid w:val="77FA39E1"/>
    <w:rsid w:val="78B03450"/>
    <w:rsid w:val="78C0ACE2"/>
    <w:rsid w:val="79E01EED"/>
    <w:rsid w:val="7C93D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071B6176-8249-4EE7-BD05-E91F022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b7e99-3687-4828-8b69-956199dbcb05"/>
    <lcf76f155ced4ddcb4097134ff3c332f xmlns="d2c116ba-48c4-4596-842c-4249a1e749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8E4E6267B540B2EE4BE3D1090EF3" ma:contentTypeVersion="19" ma:contentTypeDescription="Create a new document." ma:contentTypeScope="" ma:versionID="c7663dbaa885ffb90c57bd4e151eaac3">
  <xsd:schema xmlns:xsd="http://www.w3.org/2001/XMLSchema" xmlns:xs="http://www.w3.org/2001/XMLSchema" xmlns:p="http://schemas.microsoft.com/office/2006/metadata/properties" xmlns:ns2="d2c116ba-48c4-4596-842c-4249a1e74920" xmlns:ns3="f4bb7e99-3687-4828-8b69-956199dbcb05" targetNamespace="http://schemas.microsoft.com/office/2006/metadata/properties" ma:root="true" ma:fieldsID="b34cc7d027c62389322eb332bf8bfaa1" ns2:_="" ns3:_="">
    <xsd:import namespace="d2c116ba-48c4-4596-842c-4249a1e74920"/>
    <xsd:import namespace="f4bb7e99-3687-4828-8b69-956199db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16ba-48c4-4596-842c-4249a1e7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b7e99-3687-4828-8b69-956199db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040d66-47de-40ea-9e04-f77610e095d0}" ma:internalName="TaxCatchAll" ma:showField="CatchAllData" ma:web="f4bb7e99-3687-4828-8b69-956199db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492EA-81AD-47C2-9378-4E916EE9D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2AAB4-6D80-49A7-AA68-CCF732FF8105}">
  <ds:schemaRefs>
    <ds:schemaRef ds:uri="http://schemas.microsoft.com/office/2006/metadata/properties"/>
    <ds:schemaRef ds:uri="http://schemas.microsoft.com/office/infopath/2007/PartnerControls"/>
    <ds:schemaRef ds:uri="f4bb7e99-3687-4828-8b69-956199dbcb05"/>
    <ds:schemaRef ds:uri="d2c116ba-48c4-4596-842c-4249a1e74920"/>
  </ds:schemaRefs>
</ds:datastoreItem>
</file>

<file path=customXml/itemProps3.xml><?xml version="1.0" encoding="utf-8"?>
<ds:datastoreItem xmlns:ds="http://schemas.openxmlformats.org/officeDocument/2006/customXml" ds:itemID="{F3515F4C-C78D-418E-8158-5C22CD699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116ba-48c4-4596-842c-4249a1e74920"/>
    <ds:schemaRef ds:uri="f4bb7e99-3687-4828-8b69-956199db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17B33-DE6C-4308-910F-4CF74E530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1007</Words>
  <Characters>5741</Characters>
  <Application>Microsoft Office Word</Application>
  <DocSecurity>0</DocSecurity>
  <Lines>47</Lines>
  <Paragraphs>13</Paragraphs>
  <ScaleCrop>false</ScaleCrop>
  <Company>Samworth Brothers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Purdy</dc:creator>
  <cp:keywords/>
  <cp:lastModifiedBy>Tom Purdy</cp:lastModifiedBy>
  <cp:revision>2</cp:revision>
  <dcterms:created xsi:type="dcterms:W3CDTF">2026-07-08T08:16:00Z</dcterms:created>
  <dcterms:modified xsi:type="dcterms:W3CDTF">2026-07-08T08:16:00Z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0x010100E1978E4E6267B540B2EE4BE3D1090EF3</vt:lpwstr>
  </property>
  <property fmtid="{D5CDD505-2E9C-101B-9397-08002B2CF9AE}" pid="3" name="MediaServiceImageTags">
    <vt:lpwstr/>
  </property>
</Properties>
</file>