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A0B1" w14:textId="3ECEA4E2" w:rsidR="00A111B9" w:rsidRPr="00A111B9" w:rsidRDefault="00A111B9" w:rsidP="00A111B9">
      <w:pPr>
        <w:spacing w:before="6" w:after="0" w:line="100" w:lineRule="exact"/>
        <w:rPr>
          <w:sz w:val="10"/>
          <w:szCs w:val="10"/>
        </w:rPr>
      </w:pPr>
    </w:p>
    <w:p w14:paraId="49157049" w14:textId="77777777" w:rsidR="00381E5E" w:rsidRDefault="00381E5E">
      <w:pPr>
        <w:spacing w:before="6" w:after="0" w:line="100" w:lineRule="exact"/>
        <w:rPr>
          <w:sz w:val="10"/>
          <w:szCs w:val="10"/>
        </w:rPr>
      </w:pPr>
    </w:p>
    <w:p w14:paraId="56817A5C" w14:textId="44BC6DC6" w:rsidR="00381E5E" w:rsidRDefault="00A564EF">
      <w:pPr>
        <w:spacing w:after="0" w:line="240" w:lineRule="auto"/>
        <w:ind w:left="34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E5CA068" wp14:editId="5D5298CA">
            <wp:extent cx="2392680" cy="1257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ED18" w14:textId="77777777" w:rsidR="00381E5E" w:rsidRDefault="00381E5E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4249"/>
        <w:gridCol w:w="1696"/>
        <w:gridCol w:w="1697"/>
      </w:tblGrid>
      <w:tr w:rsidR="00381E5E" w:rsidRPr="00094F29" w14:paraId="58207F65" w14:textId="77777777">
        <w:trPr>
          <w:trHeight w:hRule="exact" w:val="405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6F778B1B" w14:textId="77777777" w:rsidR="00381E5E" w:rsidRPr="00094F29" w:rsidRDefault="0010465C">
            <w:pPr>
              <w:spacing w:before="74" w:after="0" w:line="240" w:lineRule="auto"/>
              <w:ind w:left="4521" w:right="38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color w:val="FFFFFF"/>
                <w:sz w:val="20"/>
                <w:szCs w:val="20"/>
              </w:rPr>
              <w:t>ROLE PROFILE</w:t>
            </w:r>
          </w:p>
        </w:tc>
      </w:tr>
      <w:tr w:rsidR="00381E5E" w:rsidRPr="00094F29" w14:paraId="1F3F2C11" w14:textId="77777777" w:rsidTr="00B205E2">
        <w:trPr>
          <w:trHeight w:hRule="exact" w:val="30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71C437CE" w14:textId="77777777" w:rsidR="00381E5E" w:rsidRPr="00094F29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DCC2E" w14:textId="6B8E3594" w:rsidR="00381E5E" w:rsidRPr="00094F29" w:rsidRDefault="00523FD5" w:rsidP="00523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C90" w:rsidRPr="00094F29">
              <w:rPr>
                <w:rFonts w:ascii="Arial" w:hAnsi="Arial" w:cs="Arial"/>
                <w:sz w:val="20"/>
                <w:szCs w:val="20"/>
              </w:rPr>
              <w:t xml:space="preserve">Environment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33AEBB62" w14:textId="77777777" w:rsidR="00381E5E" w:rsidRPr="00094F29" w:rsidRDefault="0010465C">
            <w:pPr>
              <w:spacing w:before="6" w:after="0" w:line="240" w:lineRule="auto"/>
              <w:ind w:left="575" w:right="5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094F29"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75AB1" w14:textId="4240DC33" w:rsidR="00381E5E" w:rsidRPr="00094F29" w:rsidRDefault="00523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January 2026</w:t>
            </w:r>
          </w:p>
        </w:tc>
      </w:tr>
      <w:tr w:rsidR="00381E5E" w:rsidRPr="00094F29" w14:paraId="51651C76" w14:textId="77777777" w:rsidTr="00B205E2">
        <w:trPr>
          <w:trHeight w:hRule="exact" w:val="27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558A5401" w14:textId="77777777" w:rsidR="00381E5E" w:rsidRPr="00094F29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57D4F" w14:textId="27197D60" w:rsidR="00381E5E" w:rsidRPr="00094F29" w:rsidRDefault="00523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Meals </w:t>
            </w:r>
          </w:p>
        </w:tc>
      </w:tr>
      <w:tr w:rsidR="00381E5E" w:rsidRPr="00094F29" w14:paraId="6E78C333" w14:textId="77777777" w:rsidTr="00B205E2">
        <w:trPr>
          <w:trHeight w:hRule="exact" w:val="255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2F01AFC3" w14:textId="77777777" w:rsidR="00381E5E" w:rsidRPr="00094F29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09DF5" w14:textId="33DF9377" w:rsidR="00381E5E" w:rsidRPr="00094F29" w:rsidRDefault="00523FD5" w:rsidP="00523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1B9">
              <w:rPr>
                <w:rFonts w:ascii="Arial" w:hAnsi="Arial" w:cs="Arial"/>
                <w:sz w:val="20"/>
                <w:szCs w:val="20"/>
              </w:rPr>
              <w:t xml:space="preserve">Technical </w:t>
            </w:r>
          </w:p>
        </w:tc>
      </w:tr>
      <w:tr w:rsidR="00381E5E" w:rsidRPr="00094F29" w14:paraId="2E973682" w14:textId="77777777" w:rsidTr="00B205E2">
        <w:trPr>
          <w:trHeight w:hRule="exact" w:val="30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29E57DD4" w14:textId="77777777" w:rsidR="00381E5E" w:rsidRPr="00094F29" w:rsidRDefault="0010465C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9030F" w14:textId="63FDC4EF" w:rsidR="00381E5E" w:rsidRPr="00094F29" w:rsidRDefault="00523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Kettleby Foods &amp; SaladWorks</w:t>
            </w:r>
          </w:p>
        </w:tc>
      </w:tr>
      <w:tr w:rsidR="00381E5E" w:rsidRPr="00094F29" w14:paraId="433A6DE7" w14:textId="77777777">
        <w:trPr>
          <w:trHeight w:hRule="exact" w:val="300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7A12EDD1" w14:textId="77777777" w:rsidR="00381E5E" w:rsidRPr="00094F29" w:rsidRDefault="0010465C">
            <w:pPr>
              <w:spacing w:after="0" w:line="275" w:lineRule="exact"/>
              <w:ind w:left="3268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color w:val="FFFFFF"/>
                <w:sz w:val="20"/>
                <w:szCs w:val="20"/>
              </w:rPr>
              <w:t>ROLE SUMMARY (main purpose)</w:t>
            </w:r>
          </w:p>
        </w:tc>
      </w:tr>
      <w:tr w:rsidR="00381E5E" w:rsidRPr="00094F29" w14:paraId="429654BD" w14:textId="77777777" w:rsidTr="00CA715D">
        <w:trPr>
          <w:trHeight w:hRule="exact" w:val="3218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9205" w14:textId="6933F791" w:rsidR="00C10E0F" w:rsidRPr="00C10E0F" w:rsidRDefault="00C10E0F" w:rsidP="00C10E0F">
            <w:pPr>
              <w:ind w:left="164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10E0F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lead the management and continuous improvement of environmental performance across food manufacturing operations, ensuring legal compliance, risk management, cost efficiency and progress against </w:t>
            </w:r>
            <w:r w:rsidR="00CA715D">
              <w:rPr>
                <w:rFonts w:ascii="Arial" w:hAnsi="Arial" w:cs="Arial"/>
                <w:sz w:val="20"/>
                <w:szCs w:val="20"/>
                <w:lang w:eastAsia="en-GB"/>
              </w:rPr>
              <w:t>our sustainability</w:t>
            </w:r>
            <w:r w:rsidRPr="00C10E0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commitments.</w:t>
            </w:r>
          </w:p>
          <w:p w14:paraId="1763F34C" w14:textId="01F5C7D6" w:rsidR="00C10E0F" w:rsidRDefault="00C10E0F" w:rsidP="00C10E0F">
            <w:pPr>
              <w:ind w:left="164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10E0F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role translates </w:t>
            </w:r>
            <w:r w:rsidR="00CA715D">
              <w:rPr>
                <w:rFonts w:ascii="Arial" w:hAnsi="Arial" w:cs="Arial"/>
                <w:sz w:val="20"/>
                <w:szCs w:val="20"/>
                <w:lang w:eastAsia="en-GB"/>
              </w:rPr>
              <w:t>our sustainability</w:t>
            </w:r>
            <w:r w:rsidRPr="00C10E0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strategy into practical, site-level action while supporting production continuity, food safety, and regulatory assurance.</w:t>
            </w:r>
          </w:p>
          <w:p w14:paraId="504E34BB" w14:textId="25820A8B" w:rsidR="00A111B9" w:rsidRPr="00A111B9" w:rsidRDefault="00A111B9" w:rsidP="00A111B9">
            <w:pPr>
              <w:ind w:left="164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111B9">
              <w:rPr>
                <w:rFonts w:ascii="Arial" w:hAnsi="Arial" w:cs="Arial"/>
                <w:sz w:val="20"/>
                <w:szCs w:val="20"/>
                <w:lang w:eastAsia="en-GB"/>
              </w:rPr>
              <w:t xml:space="preserve">As Environment Manager, you will ensure our food manufacturing operations meet the highest environmental standards while also delivering on our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responsible business </w:t>
            </w:r>
            <w:r w:rsidR="00914B75">
              <w:rPr>
                <w:rFonts w:ascii="Arial" w:hAnsi="Arial" w:cs="Arial"/>
                <w:sz w:val="20"/>
                <w:szCs w:val="20"/>
                <w:lang w:eastAsia="en-GB"/>
              </w:rPr>
              <w:t>commitments</w:t>
            </w:r>
            <w:r w:rsidRPr="00A111B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This role combines compliance with legislation and ISO 14001 requirements, with the opportunity to lead initiatives that protect natural resources, reduce our environmental footprint, and create positive impact for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our colleagues</w:t>
            </w:r>
            <w:r w:rsidRPr="00A111B9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our </w:t>
            </w:r>
            <w:r w:rsidRPr="00A111B9">
              <w:rPr>
                <w:rFonts w:ascii="Arial" w:hAnsi="Arial" w:cs="Arial"/>
                <w:sz w:val="20"/>
                <w:szCs w:val="20"/>
                <w:lang w:eastAsia="en-GB"/>
              </w:rPr>
              <w:t>communities, and the planet.</w:t>
            </w:r>
          </w:p>
          <w:p w14:paraId="4E2C0811" w14:textId="77777777" w:rsidR="00A111B9" w:rsidRDefault="00A111B9" w:rsidP="00867BD6">
            <w:pPr>
              <w:ind w:left="164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446757D" w14:textId="77777777" w:rsidR="00A111B9" w:rsidRDefault="00A111B9" w:rsidP="00867BD6">
            <w:pPr>
              <w:ind w:left="164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BDAE78E" w14:textId="77777777" w:rsidR="00A111B9" w:rsidRDefault="00A111B9" w:rsidP="00867BD6">
            <w:pPr>
              <w:ind w:left="164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396FDE0" w14:textId="14CF9D86" w:rsidR="00381E5E" w:rsidRPr="00094F29" w:rsidRDefault="00C61BE6" w:rsidP="00867BD6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 w:rsidRPr="00C61BE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03360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81E5E" w:rsidRPr="00094F29" w14:paraId="05FF2C4C" w14:textId="77777777">
        <w:trPr>
          <w:trHeight w:hRule="exact" w:val="315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1C3DB2C0" w14:textId="77777777" w:rsidR="00381E5E" w:rsidRPr="00094F29" w:rsidRDefault="0010465C">
            <w:pPr>
              <w:spacing w:after="0" w:line="275" w:lineRule="exact"/>
              <w:ind w:left="3545" w:right="35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color w:val="FFFFFF"/>
                <w:sz w:val="20"/>
                <w:szCs w:val="20"/>
              </w:rPr>
              <w:t>REPORTING STRUCTURE</w:t>
            </w:r>
          </w:p>
        </w:tc>
      </w:tr>
      <w:tr w:rsidR="00381E5E" w:rsidRPr="00094F29" w14:paraId="431232C6" w14:textId="77777777" w:rsidTr="00B205E2">
        <w:trPr>
          <w:trHeight w:hRule="exact" w:val="39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29530A18" w14:textId="77777777" w:rsidR="00381E5E" w:rsidRPr="00094F29" w:rsidRDefault="00381E5E">
            <w:pPr>
              <w:spacing w:before="2" w:after="0" w:line="1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1B7142E" w14:textId="77777777" w:rsidR="00381E5E" w:rsidRPr="00094F29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Reports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2445" w14:textId="205E2A41" w:rsidR="00381E5E" w:rsidRPr="00094F29" w:rsidRDefault="00A111B9" w:rsidP="00A00B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Technical </w:t>
            </w:r>
          </w:p>
        </w:tc>
      </w:tr>
      <w:tr w:rsidR="00381E5E" w:rsidRPr="00094F29" w14:paraId="48EC50CF" w14:textId="77777777" w:rsidTr="00B205E2">
        <w:trPr>
          <w:trHeight w:hRule="exact" w:val="589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2C32A940" w14:textId="77777777" w:rsidR="00381E5E" w:rsidRPr="00094F29" w:rsidRDefault="00381E5E">
            <w:pPr>
              <w:spacing w:before="2" w:after="0" w:line="1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93D57E" w14:textId="77777777" w:rsidR="00381E5E" w:rsidRPr="00094F29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Direct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2030F" w14:textId="699FC0D9" w:rsidR="00381E5E" w:rsidRPr="00094F29" w:rsidRDefault="00232955" w:rsidP="00A00B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A111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1E5E" w:rsidRPr="00094F29" w14:paraId="0ECEEF76" w14:textId="77777777" w:rsidTr="00B205E2">
        <w:trPr>
          <w:trHeight w:hRule="exact" w:val="74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2CE4E081" w14:textId="77777777" w:rsidR="00381E5E" w:rsidRPr="00094F29" w:rsidRDefault="00381E5E">
            <w:pPr>
              <w:spacing w:before="2" w:after="0" w:line="1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3857D64" w14:textId="77777777" w:rsidR="00381E5E" w:rsidRPr="00094F29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Key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90D1" w14:textId="77777777" w:rsidR="00381E5E" w:rsidRDefault="00280BB0" w:rsidP="00A00B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Category: </w:t>
            </w:r>
            <w:r w:rsidR="00A111B9">
              <w:rPr>
                <w:rFonts w:ascii="Arial" w:hAnsi="Arial" w:cs="Arial"/>
                <w:sz w:val="20"/>
                <w:szCs w:val="20"/>
              </w:rPr>
              <w:t>Colleagues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111B9">
              <w:rPr>
                <w:rFonts w:ascii="Arial" w:hAnsi="Arial" w:cs="Arial"/>
                <w:sz w:val="20"/>
                <w:szCs w:val="20"/>
              </w:rPr>
              <w:t>Operations,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1B9">
              <w:rPr>
                <w:rFonts w:ascii="Arial" w:hAnsi="Arial" w:cs="Arial"/>
                <w:sz w:val="20"/>
                <w:szCs w:val="20"/>
              </w:rPr>
              <w:t>E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ngineering, </w:t>
            </w:r>
            <w:r w:rsidR="00A111B9">
              <w:rPr>
                <w:rFonts w:ascii="Arial" w:hAnsi="Arial" w:cs="Arial"/>
                <w:sz w:val="20"/>
                <w:szCs w:val="20"/>
              </w:rPr>
              <w:t>F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inance, </w:t>
            </w:r>
            <w:r w:rsidR="00A111B9">
              <w:rPr>
                <w:rFonts w:ascii="Arial" w:hAnsi="Arial" w:cs="Arial"/>
                <w:sz w:val="20"/>
                <w:szCs w:val="20"/>
              </w:rPr>
              <w:t>Commercial &amp; Technical</w:t>
            </w:r>
          </w:p>
          <w:p w14:paraId="13285EF1" w14:textId="4132D8EB" w:rsidR="00280BB0" w:rsidRPr="00094F29" w:rsidRDefault="00CA5E5D" w:rsidP="00A00B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Group: Sustainability Director</w:t>
            </w:r>
          </w:p>
        </w:tc>
      </w:tr>
      <w:tr w:rsidR="00381E5E" w:rsidRPr="00094F29" w14:paraId="6B9AD424" w14:textId="77777777" w:rsidTr="00B205E2">
        <w:trPr>
          <w:trHeight w:hRule="exact" w:val="567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33C54647" w14:textId="77777777" w:rsidR="00381E5E" w:rsidRPr="00094F29" w:rsidRDefault="00381E5E">
            <w:pPr>
              <w:spacing w:before="2" w:after="0" w:line="1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225E56A" w14:textId="77777777" w:rsidR="00381E5E" w:rsidRPr="00094F29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Key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 w:rsidRPr="00094F2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E241" w14:textId="04B0A225" w:rsidR="00381E5E" w:rsidRPr="00094F29" w:rsidRDefault="005C3102" w:rsidP="00A00B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Regulators, </w:t>
            </w:r>
            <w:r w:rsidR="00A111B9">
              <w:rPr>
                <w:rFonts w:ascii="Arial" w:hAnsi="Arial" w:cs="Arial"/>
                <w:sz w:val="20"/>
                <w:szCs w:val="20"/>
              </w:rPr>
              <w:t>L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ocal </w:t>
            </w:r>
            <w:r w:rsidR="00A111B9">
              <w:rPr>
                <w:rFonts w:ascii="Arial" w:hAnsi="Arial" w:cs="Arial"/>
                <w:sz w:val="20"/>
                <w:szCs w:val="20"/>
              </w:rPr>
              <w:t>A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uthorities, </w:t>
            </w:r>
            <w:r w:rsidR="00A111B9">
              <w:rPr>
                <w:rFonts w:ascii="Arial" w:hAnsi="Arial" w:cs="Arial"/>
                <w:sz w:val="20"/>
                <w:szCs w:val="20"/>
              </w:rPr>
              <w:t>L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ocal </w:t>
            </w:r>
            <w:r w:rsidR="00A111B9">
              <w:rPr>
                <w:rFonts w:ascii="Arial" w:hAnsi="Arial" w:cs="Arial"/>
                <w:sz w:val="20"/>
                <w:szCs w:val="20"/>
              </w:rPr>
              <w:t>C</w:t>
            </w:r>
            <w:r w:rsidR="00576A79">
              <w:rPr>
                <w:rFonts w:ascii="Arial" w:hAnsi="Arial" w:cs="Arial"/>
                <w:sz w:val="20"/>
                <w:szCs w:val="20"/>
              </w:rPr>
              <w:t xml:space="preserve">ommunity </w:t>
            </w:r>
            <w:r w:rsidR="00A111B9">
              <w:rPr>
                <w:rFonts w:ascii="Arial" w:hAnsi="Arial" w:cs="Arial"/>
                <w:sz w:val="20"/>
                <w:szCs w:val="20"/>
              </w:rPr>
              <w:t>G</w:t>
            </w:r>
            <w:r w:rsidR="00576A79">
              <w:rPr>
                <w:rFonts w:ascii="Arial" w:hAnsi="Arial" w:cs="Arial"/>
                <w:sz w:val="20"/>
                <w:szCs w:val="20"/>
              </w:rPr>
              <w:t>roups</w:t>
            </w:r>
          </w:p>
        </w:tc>
      </w:tr>
      <w:tr w:rsidR="00381E5E" w:rsidRPr="00094F29" w14:paraId="2237C826" w14:textId="77777777">
        <w:trPr>
          <w:trHeight w:hRule="exact" w:val="300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DC96516" w14:textId="77777777" w:rsidR="00381E5E" w:rsidRPr="00094F29" w:rsidRDefault="0010465C">
            <w:pPr>
              <w:spacing w:after="0" w:line="275" w:lineRule="exact"/>
              <w:ind w:left="2187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color w:val="FFFFFF"/>
                <w:sz w:val="20"/>
                <w:szCs w:val="20"/>
              </w:rPr>
              <w:t>KEY ACCOUNTABILITIES  AND RESPONSIBILITIES</w:t>
            </w:r>
          </w:p>
        </w:tc>
      </w:tr>
      <w:tr w:rsidR="00381E5E" w:rsidRPr="00094F29" w14:paraId="34A151DE" w14:textId="77777777" w:rsidTr="00B82788">
        <w:trPr>
          <w:trHeight w:hRule="exact" w:val="7387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E8E" w14:textId="77777777" w:rsidR="0005772A" w:rsidRDefault="0005772A" w:rsidP="000577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1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Leadership &amp; Engagement:</w:t>
            </w:r>
          </w:p>
          <w:p w14:paraId="3A931928" w14:textId="77777777" w:rsidR="0005772A" w:rsidRDefault="0005772A" w:rsidP="000577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a Category Sustainability Meeting.</w:t>
            </w:r>
          </w:p>
          <w:p w14:paraId="3838D685" w14:textId="77777777" w:rsidR="0005772A" w:rsidRPr="001E3440" w:rsidRDefault="0005772A" w:rsidP="000577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E3440">
              <w:rPr>
                <w:rFonts w:ascii="Arial" w:hAnsi="Arial" w:cs="Arial"/>
                <w:sz w:val="20"/>
                <w:szCs w:val="20"/>
              </w:rPr>
              <w:t>Build environmental capability across the site through training, coaching and engagement.</w:t>
            </w:r>
          </w:p>
          <w:p w14:paraId="778A6EA0" w14:textId="77777777" w:rsidR="0005772A" w:rsidRPr="001E3440" w:rsidRDefault="0005772A" w:rsidP="000577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E3440">
              <w:rPr>
                <w:rFonts w:ascii="Arial" w:hAnsi="Arial" w:cs="Arial"/>
                <w:sz w:val="20"/>
                <w:szCs w:val="20"/>
              </w:rPr>
              <w:t>Promote environmental awareness and ownership at all levels of the business.</w:t>
            </w:r>
          </w:p>
          <w:p w14:paraId="14C2E6D0" w14:textId="77777777" w:rsidR="0005772A" w:rsidRPr="001E3440" w:rsidRDefault="0005772A" w:rsidP="000577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E3440">
              <w:rPr>
                <w:rFonts w:ascii="Arial" w:hAnsi="Arial" w:cs="Arial"/>
                <w:sz w:val="20"/>
                <w:szCs w:val="20"/>
              </w:rPr>
              <w:t>Support behavioural change initiatives linked to environmental performance.</w:t>
            </w:r>
          </w:p>
          <w:p w14:paraId="141D889D" w14:textId="77777777" w:rsidR="0005772A" w:rsidRPr="00A111B9" w:rsidRDefault="0005772A" w:rsidP="000577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1B9">
              <w:rPr>
                <w:rFonts w:ascii="Arial" w:hAnsi="Arial" w:cs="Arial"/>
                <w:sz w:val="20"/>
                <w:szCs w:val="20"/>
              </w:rPr>
              <w:t>Communicate progress and achievements with clarity and impact, both internally and externally.</w:t>
            </w:r>
          </w:p>
          <w:p w14:paraId="056B7D2A" w14:textId="0D9ECEE7" w:rsidR="00A111B9" w:rsidRPr="00A111B9" w:rsidRDefault="00A111B9" w:rsidP="00A111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1B9">
              <w:rPr>
                <w:rFonts w:ascii="Arial" w:hAnsi="Arial" w:cs="Arial"/>
                <w:b/>
                <w:bCs/>
                <w:sz w:val="20"/>
                <w:szCs w:val="20"/>
              </w:rPr>
              <w:t>Environmental</w:t>
            </w:r>
            <w:r w:rsidR="00F42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Compliance</w:t>
            </w:r>
            <w:r w:rsidRPr="00A111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3ABFA21" w14:textId="33B01706" w:rsidR="00F424FA" w:rsidRDefault="00F424FA" w:rsidP="00F424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424FA">
              <w:rPr>
                <w:rFonts w:ascii="Arial" w:hAnsi="Arial" w:cs="Arial"/>
                <w:sz w:val="20"/>
                <w:szCs w:val="20"/>
              </w:rPr>
              <w:t xml:space="preserve">Ensure full compliance with environmental legislation, permits and </w:t>
            </w:r>
            <w:r w:rsidR="008D42F8" w:rsidRPr="00F424FA">
              <w:rPr>
                <w:rFonts w:ascii="Arial" w:hAnsi="Arial" w:cs="Arial"/>
                <w:sz w:val="20"/>
                <w:szCs w:val="20"/>
              </w:rPr>
              <w:t>licenses</w:t>
            </w:r>
            <w:r w:rsidRPr="00F424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72C8B5" w14:textId="1BC37EF2" w:rsidR="00A82AE6" w:rsidRPr="00F424FA" w:rsidRDefault="00A82AE6" w:rsidP="00F424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</w:t>
            </w:r>
            <w:r w:rsidR="00F231D0">
              <w:rPr>
                <w:rFonts w:ascii="Arial" w:hAnsi="Arial" w:cs="Arial"/>
                <w:sz w:val="20"/>
                <w:szCs w:val="20"/>
              </w:rPr>
              <w:t>ment of two environmentally permitted sites.</w:t>
            </w:r>
          </w:p>
          <w:p w14:paraId="4419A2CB" w14:textId="61D52E82" w:rsidR="00F424FA" w:rsidRPr="00F424FA" w:rsidRDefault="00511F9D" w:rsidP="00F424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11F9D">
              <w:rPr>
                <w:rFonts w:ascii="Arial" w:hAnsi="Arial" w:cs="Arial"/>
                <w:sz w:val="20"/>
                <w:szCs w:val="20"/>
              </w:rPr>
              <w:t>Lead and maintain the site Environmental Management System (EMS), ensuring compliance with ISO 14001</w:t>
            </w:r>
            <w:r w:rsidR="00F424FA" w:rsidRPr="00F424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65D8DC" w14:textId="77777777" w:rsidR="008D42F8" w:rsidRPr="008D42F8" w:rsidRDefault="008D42F8" w:rsidP="008D42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D42F8">
              <w:rPr>
                <w:rFonts w:ascii="Arial" w:hAnsi="Arial" w:cs="Arial"/>
                <w:sz w:val="20"/>
                <w:szCs w:val="20"/>
              </w:rPr>
              <w:t>Act as the main point of contact with regulators, certification bodies, and auditors.</w:t>
            </w:r>
          </w:p>
          <w:p w14:paraId="5BF27C84" w14:textId="5BA2CC58" w:rsidR="00F424FA" w:rsidRPr="00F424FA" w:rsidRDefault="00F424FA" w:rsidP="00F424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424FA">
              <w:rPr>
                <w:rFonts w:ascii="Arial" w:hAnsi="Arial" w:cs="Arial"/>
                <w:sz w:val="20"/>
                <w:szCs w:val="20"/>
              </w:rPr>
              <w:t>Identify, assess and mitigate environmental risks.</w:t>
            </w:r>
          </w:p>
          <w:p w14:paraId="1C3ECBAE" w14:textId="08EC55A5" w:rsidR="00F424FA" w:rsidRDefault="00F424FA" w:rsidP="00F424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424FA">
              <w:rPr>
                <w:rFonts w:ascii="Arial" w:hAnsi="Arial" w:cs="Arial"/>
                <w:sz w:val="20"/>
                <w:szCs w:val="20"/>
              </w:rPr>
              <w:t>Lead incident investigations and corrective actions.</w:t>
            </w:r>
          </w:p>
          <w:p w14:paraId="5BF5E3DB" w14:textId="77777777" w:rsidR="00A111B9" w:rsidRDefault="00A111B9" w:rsidP="00A111B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111B9">
              <w:rPr>
                <w:rFonts w:ascii="Arial" w:hAnsi="Arial" w:cs="Arial"/>
                <w:sz w:val="20"/>
                <w:szCs w:val="20"/>
              </w:rPr>
              <w:t>Monitor and report environmental performance metrics (energy, carbon, water, waste, emissions) with clear plans for continuous improvement.</w:t>
            </w:r>
          </w:p>
          <w:p w14:paraId="5665A9AA" w14:textId="4B23566B" w:rsidR="00A111B9" w:rsidRDefault="00A111B9" w:rsidP="00A111B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111B9">
              <w:rPr>
                <w:rFonts w:ascii="Arial" w:hAnsi="Arial" w:cs="Arial"/>
                <w:sz w:val="20"/>
                <w:szCs w:val="20"/>
              </w:rPr>
              <w:t>Deliver site-based projects that contribute to corporate sustainability target</w:t>
            </w:r>
            <w:r w:rsidR="009E0A7C">
              <w:rPr>
                <w:rFonts w:ascii="Arial" w:hAnsi="Arial" w:cs="Arial"/>
                <w:sz w:val="20"/>
                <w:szCs w:val="20"/>
              </w:rPr>
              <w:t>s</w:t>
            </w:r>
            <w:r w:rsidRPr="00A111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A30D1" w14:textId="7D381A3E" w:rsidR="00A111B9" w:rsidRDefault="00A111B9" w:rsidP="00A111B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111B9">
              <w:rPr>
                <w:rFonts w:ascii="Arial" w:hAnsi="Arial" w:cs="Arial"/>
                <w:sz w:val="20"/>
                <w:szCs w:val="20"/>
              </w:rPr>
              <w:t>Conduct audits, inspections, and risk assessments.</w:t>
            </w:r>
          </w:p>
          <w:p w14:paraId="272CBECC" w14:textId="3CF72632" w:rsidR="00A111B9" w:rsidRPr="00A111B9" w:rsidRDefault="002F3BCF" w:rsidP="00A111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Resource Efficiency &amp; Performance Improvement</w:t>
            </w:r>
            <w:r w:rsidR="00A111B9" w:rsidRPr="00A111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BA27FC" w14:textId="4C2A0EB7" w:rsidR="002F3BCF" w:rsidRPr="002F3BCF" w:rsidRDefault="002F3BCF" w:rsidP="002F3B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F3BCF">
              <w:rPr>
                <w:rFonts w:ascii="Arial" w:hAnsi="Arial" w:cs="Arial"/>
                <w:sz w:val="20"/>
                <w:szCs w:val="20"/>
              </w:rPr>
              <w:t>Drive reduction of energy, water, waste and effluent intensity.</w:t>
            </w:r>
          </w:p>
          <w:p w14:paraId="5A4CD247" w14:textId="77777777" w:rsidR="002F3BCF" w:rsidRPr="002F3BCF" w:rsidRDefault="002F3BCF" w:rsidP="002F3B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F3BCF">
              <w:rPr>
                <w:rFonts w:ascii="Arial" w:hAnsi="Arial" w:cs="Arial"/>
                <w:sz w:val="20"/>
                <w:szCs w:val="20"/>
              </w:rPr>
              <w:t>Identify and deliver cost-effective environmental improvement projects (capex &amp; opex).</w:t>
            </w:r>
          </w:p>
          <w:p w14:paraId="3E0E9B90" w14:textId="77777777" w:rsidR="002F3BCF" w:rsidRPr="002F3BCF" w:rsidRDefault="002F3BCF" w:rsidP="002F3B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F3BCF">
              <w:rPr>
                <w:rFonts w:ascii="Arial" w:hAnsi="Arial" w:cs="Arial"/>
                <w:sz w:val="20"/>
                <w:szCs w:val="20"/>
              </w:rPr>
              <w:t>Support engineering and operations teams on process optimisation and equipment upgrades.</w:t>
            </w:r>
          </w:p>
          <w:p w14:paraId="05DC4062" w14:textId="38A1806B" w:rsidR="00381E5E" w:rsidRPr="00A111B9" w:rsidRDefault="002F3BCF" w:rsidP="002F3B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F3BCF">
              <w:rPr>
                <w:rFonts w:ascii="Arial" w:hAnsi="Arial" w:cs="Arial"/>
                <w:sz w:val="20"/>
                <w:szCs w:val="20"/>
              </w:rPr>
              <w:t>Track performance against KPIs and targets; analyse trends and root causes.</w:t>
            </w:r>
            <w:r w:rsidR="00A111B9" w:rsidRPr="00A111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E4D599" w14:textId="77777777" w:rsidR="00A111B9" w:rsidRPr="00A111B9" w:rsidRDefault="00A111B9" w:rsidP="00A111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8F2593" w14:textId="2497417D" w:rsidR="00A111B9" w:rsidRPr="00A111B9" w:rsidRDefault="00A111B9" w:rsidP="00A11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E5E" w:rsidRPr="00094F29" w14:paraId="2D17D41A" w14:textId="77777777">
        <w:trPr>
          <w:trHeight w:hRule="exact" w:val="300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BCE86D8" w14:textId="77777777" w:rsidR="00381E5E" w:rsidRPr="00094F29" w:rsidRDefault="0010465C">
            <w:pPr>
              <w:spacing w:after="0" w:line="275" w:lineRule="exact"/>
              <w:ind w:left="1886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color w:val="FFFFFF"/>
                <w:sz w:val="20"/>
                <w:szCs w:val="20"/>
              </w:rPr>
              <w:t>QUALIFICATIONS, EXPERIENCE, SKILLS / KNOWLEDGE</w:t>
            </w:r>
          </w:p>
        </w:tc>
      </w:tr>
      <w:tr w:rsidR="00381E5E" w:rsidRPr="00094F29" w14:paraId="093EADE1" w14:textId="77777777" w:rsidTr="00596808">
        <w:trPr>
          <w:trHeight w:hRule="exact" w:val="1135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630B5CD" w14:textId="77777777" w:rsidR="00381E5E" w:rsidRPr="00094F29" w:rsidRDefault="00381E5E">
            <w:pPr>
              <w:spacing w:before="7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5BB3079" w14:textId="77777777" w:rsidR="00381E5E" w:rsidRPr="00094F29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103F" w14:textId="22B15B60" w:rsidR="00A803D6" w:rsidRPr="00961A19" w:rsidRDefault="00576A79" w:rsidP="00DC07B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61A19">
              <w:rPr>
                <w:rFonts w:ascii="Arial" w:hAnsi="Arial" w:cs="Arial"/>
                <w:sz w:val="20"/>
                <w:szCs w:val="20"/>
              </w:rPr>
              <w:t>IEMA</w:t>
            </w:r>
            <w:r w:rsidR="00C42C44">
              <w:rPr>
                <w:rFonts w:ascii="Arial" w:hAnsi="Arial" w:cs="Arial"/>
                <w:sz w:val="20"/>
                <w:szCs w:val="20"/>
              </w:rPr>
              <w:t xml:space="preserve"> / ISEP Associate /</w:t>
            </w:r>
            <w:r w:rsidRPr="00961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1B9" w:rsidRPr="00961A19">
              <w:rPr>
                <w:rFonts w:ascii="Arial" w:hAnsi="Arial" w:cs="Arial"/>
                <w:sz w:val="20"/>
                <w:szCs w:val="20"/>
              </w:rPr>
              <w:t>Practitioner</w:t>
            </w:r>
          </w:p>
          <w:p w14:paraId="1D34AF88" w14:textId="2E8B873C" w:rsidR="00576A79" w:rsidRPr="00961A19" w:rsidRDefault="00576A79" w:rsidP="00DC07B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61A19">
              <w:rPr>
                <w:rFonts w:ascii="Arial" w:hAnsi="Arial" w:cs="Arial"/>
                <w:sz w:val="20"/>
                <w:szCs w:val="20"/>
              </w:rPr>
              <w:t>ISO14001 Internal Audit</w:t>
            </w:r>
            <w:r w:rsidR="00914B75">
              <w:rPr>
                <w:rFonts w:ascii="Arial" w:hAnsi="Arial" w:cs="Arial"/>
                <w:sz w:val="20"/>
                <w:szCs w:val="20"/>
              </w:rPr>
              <w:t xml:space="preserve"> knowledge / </w:t>
            </w:r>
            <w:r w:rsidR="00A111B9" w:rsidRPr="00961A19">
              <w:rPr>
                <w:rFonts w:ascii="Arial" w:hAnsi="Arial" w:cs="Arial"/>
                <w:sz w:val="20"/>
                <w:szCs w:val="20"/>
              </w:rPr>
              <w:t>qualification</w:t>
            </w:r>
          </w:p>
        </w:tc>
      </w:tr>
      <w:tr w:rsidR="00381E5E" w:rsidRPr="00094F29" w14:paraId="77FF2995" w14:textId="77777777" w:rsidTr="00867BD6">
        <w:trPr>
          <w:trHeight w:hRule="exact" w:val="1561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4A1506D" w14:textId="77777777" w:rsidR="00381E5E" w:rsidRPr="00094F29" w:rsidRDefault="00381E5E">
            <w:pPr>
              <w:spacing w:before="7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974E92" w14:textId="77777777" w:rsidR="00381E5E" w:rsidRPr="00094F29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3B8D" w14:textId="77777777" w:rsidR="00C1777F" w:rsidRPr="00C1777F" w:rsidRDefault="00C1777F" w:rsidP="00DC07B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7F">
              <w:rPr>
                <w:rFonts w:ascii="Arial" w:hAnsi="Arial" w:cs="Arial"/>
                <w:sz w:val="20"/>
                <w:szCs w:val="20"/>
              </w:rPr>
              <w:t>Experience maintaining ISO 14001 in a manufacturing environment.</w:t>
            </w:r>
          </w:p>
          <w:p w14:paraId="7784942B" w14:textId="1ED7995B" w:rsidR="00C1777F" w:rsidRDefault="00C1777F" w:rsidP="00DC07B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77F">
              <w:rPr>
                <w:rFonts w:ascii="Arial" w:hAnsi="Arial" w:cs="Arial"/>
                <w:sz w:val="20"/>
                <w:szCs w:val="20"/>
              </w:rPr>
              <w:t>Proven ability to influence operational teams and deliver change.</w:t>
            </w:r>
          </w:p>
          <w:p w14:paraId="38733E90" w14:textId="72EAE186" w:rsidR="00A111B9" w:rsidRDefault="00A111B9" w:rsidP="00DC07B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111B9">
              <w:rPr>
                <w:rFonts w:ascii="Arial" w:hAnsi="Arial" w:cs="Arial"/>
                <w:sz w:val="20"/>
                <w:szCs w:val="20"/>
              </w:rPr>
              <w:t>Proven experience in environmental management, ideally within food manufacturing or FMCG.</w:t>
            </w:r>
          </w:p>
          <w:p w14:paraId="780F24AE" w14:textId="23023375" w:rsidR="00381E5E" w:rsidRPr="00572557" w:rsidRDefault="00A803D6" w:rsidP="00DC07B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61A19">
              <w:rPr>
                <w:rFonts w:ascii="Arial" w:hAnsi="Arial" w:cs="Arial"/>
                <w:sz w:val="20"/>
                <w:szCs w:val="20"/>
              </w:rPr>
              <w:t xml:space="preserve">Experience in planning and implementing projects </w:t>
            </w:r>
          </w:p>
        </w:tc>
      </w:tr>
      <w:tr w:rsidR="00381E5E" w:rsidRPr="00094F29" w14:paraId="013DF1D5" w14:textId="77777777" w:rsidTr="00C60D51">
        <w:trPr>
          <w:trHeight w:hRule="exact" w:val="1534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2EB3B6F" w14:textId="77777777" w:rsidR="00381E5E" w:rsidRPr="00094F29" w:rsidRDefault="00381E5E">
            <w:pPr>
              <w:spacing w:before="7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553C001" w14:textId="77777777" w:rsidR="00381E5E" w:rsidRPr="00094F29" w:rsidRDefault="00104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4F29">
              <w:rPr>
                <w:rFonts w:ascii="Arial" w:eastAsia="Arial" w:hAnsi="Arial" w:cs="Arial"/>
                <w:sz w:val="20"/>
                <w:szCs w:val="20"/>
              </w:rPr>
              <w:t>Skills/</w:t>
            </w:r>
            <w:r w:rsidRPr="00094F2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94F29"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4C2D" w14:textId="209DAACC" w:rsidR="00A111B9" w:rsidRDefault="00A111B9" w:rsidP="00DC07B6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B9">
              <w:rPr>
                <w:rFonts w:ascii="Arial" w:hAnsi="Arial" w:cs="Arial"/>
                <w:color w:val="000000"/>
                <w:sz w:val="20"/>
                <w:szCs w:val="20"/>
              </w:rPr>
              <w:t>Strategic thinker with the ability to deliver practical outcomes.</w:t>
            </w:r>
          </w:p>
          <w:p w14:paraId="3EBE51D2" w14:textId="77777777" w:rsidR="00A111B9" w:rsidRDefault="00A111B9" w:rsidP="00DC07B6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B9">
              <w:rPr>
                <w:rFonts w:ascii="Arial" w:hAnsi="Arial" w:cs="Arial"/>
                <w:color w:val="000000"/>
                <w:sz w:val="20"/>
                <w:szCs w:val="20"/>
              </w:rPr>
              <w:t>Analytical and detail-focused, with strong project management capability.</w:t>
            </w:r>
          </w:p>
          <w:p w14:paraId="43641949" w14:textId="5BAE2136" w:rsidR="00A111B9" w:rsidRDefault="00A111B9" w:rsidP="00DC07B6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B9">
              <w:rPr>
                <w:rFonts w:ascii="Arial" w:hAnsi="Arial" w:cs="Arial"/>
                <w:color w:val="000000"/>
                <w:sz w:val="20"/>
                <w:szCs w:val="20"/>
              </w:rPr>
              <w:t>Collaborative approach with the ability to inspire cultural change</w:t>
            </w:r>
            <w:r w:rsidR="00C60D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741D23F" w14:textId="6603F3AD" w:rsidR="00A111B9" w:rsidRPr="00C60D51" w:rsidRDefault="00A111B9" w:rsidP="00DC07B6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B9">
              <w:rPr>
                <w:rFonts w:ascii="Arial" w:hAnsi="Arial" w:cs="Arial"/>
                <w:color w:val="000000"/>
                <w:sz w:val="20"/>
                <w:szCs w:val="20"/>
              </w:rPr>
              <w:t>Passionate about sustainability.</w:t>
            </w:r>
            <w:r w:rsidRPr="00C60D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697543" w14:textId="77777777" w:rsidR="00A111B9" w:rsidRPr="00A111B9" w:rsidRDefault="00A111B9" w:rsidP="00DC07B6">
            <w:pPr>
              <w:pStyle w:val="ListParagraph"/>
              <w:spacing w:before="60" w:after="6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F9C66C" w14:textId="6962107D" w:rsidR="00381E5E" w:rsidRPr="00961A19" w:rsidRDefault="00381E5E" w:rsidP="00DC07B6">
            <w:pPr>
              <w:pStyle w:val="ListParagraph"/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7642"/>
      </w:tblGrid>
      <w:tr w:rsidR="0077583F" w14:paraId="61FC3C3E" w14:textId="77777777" w:rsidTr="0077583F">
        <w:trPr>
          <w:trHeight w:hRule="exact" w:val="300"/>
        </w:trPr>
        <w:tc>
          <w:tcPr>
            <w:tcW w:w="10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1798F503" w14:textId="77777777" w:rsidR="0077583F" w:rsidRDefault="0077583F" w:rsidP="0077583F">
            <w:pPr>
              <w:spacing w:after="0" w:line="275" w:lineRule="exact"/>
              <w:ind w:left="27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PERSONAL ATTRIBUTES &amp; BEHAVIOURS</w:t>
            </w:r>
          </w:p>
        </w:tc>
      </w:tr>
      <w:tr w:rsidR="0077583F" w14:paraId="4F121E01" w14:textId="77777777" w:rsidTr="0077583F">
        <w:trPr>
          <w:trHeight w:hRule="exact" w:val="2738"/>
        </w:trPr>
        <w:tc>
          <w:tcPr>
            <w:tcW w:w="10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13A8" w14:textId="77777777" w:rsidR="0077583F" w:rsidRDefault="0077583F" w:rsidP="0077583F">
            <w:pPr>
              <w:spacing w:after="0" w:line="240" w:lineRule="auto"/>
            </w:pPr>
            <w:r>
              <w:t xml:space="preserve">  Professional approach</w:t>
            </w:r>
          </w:p>
          <w:p w14:paraId="2C1ED48C" w14:textId="77777777" w:rsidR="0077583F" w:rsidRDefault="0077583F" w:rsidP="0077583F">
            <w:pPr>
              <w:spacing w:after="0" w:line="240" w:lineRule="auto"/>
            </w:pPr>
            <w:r>
              <w:t xml:space="preserve">  Collaborative </w:t>
            </w:r>
          </w:p>
          <w:p w14:paraId="35CCC166" w14:textId="77777777" w:rsidR="0077583F" w:rsidRDefault="0077583F" w:rsidP="0077583F">
            <w:pPr>
              <w:spacing w:after="0" w:line="240" w:lineRule="auto"/>
            </w:pPr>
            <w:r>
              <w:t xml:space="preserve">  Positivity</w:t>
            </w:r>
          </w:p>
          <w:p w14:paraId="0B2424EC" w14:textId="77777777" w:rsidR="0077583F" w:rsidRDefault="0077583F" w:rsidP="0077583F">
            <w:pPr>
              <w:spacing w:after="0" w:line="240" w:lineRule="auto"/>
            </w:pPr>
            <w:r>
              <w:t xml:space="preserve">  Resilience</w:t>
            </w:r>
          </w:p>
          <w:p w14:paraId="04A9346D" w14:textId="77777777" w:rsidR="0077583F" w:rsidRDefault="0077583F" w:rsidP="0077583F">
            <w:pPr>
              <w:spacing w:after="0" w:line="240" w:lineRule="auto"/>
            </w:pPr>
            <w:r>
              <w:t xml:space="preserve">  Confidence</w:t>
            </w:r>
          </w:p>
          <w:p w14:paraId="6A4CE009" w14:textId="77777777" w:rsidR="0077583F" w:rsidRDefault="0077583F" w:rsidP="0077583F">
            <w:pPr>
              <w:spacing w:after="0" w:line="240" w:lineRule="auto"/>
            </w:pPr>
            <w:r>
              <w:t xml:space="preserve">  Reliability</w:t>
            </w:r>
          </w:p>
          <w:p w14:paraId="223B9A14" w14:textId="77777777" w:rsidR="0077583F" w:rsidRDefault="0077583F" w:rsidP="0077583F">
            <w:pPr>
              <w:spacing w:after="0" w:line="240" w:lineRule="auto"/>
            </w:pPr>
            <w:r>
              <w:t xml:space="preserve">  Proactivity</w:t>
            </w:r>
          </w:p>
          <w:p w14:paraId="6392BED1" w14:textId="77777777" w:rsidR="0077583F" w:rsidRDefault="0077583F" w:rsidP="0077583F">
            <w:pPr>
              <w:spacing w:after="0" w:line="240" w:lineRule="auto"/>
            </w:pPr>
            <w:r>
              <w:t xml:space="preserve">  Adaptability</w:t>
            </w:r>
          </w:p>
          <w:p w14:paraId="0FAF31B1" w14:textId="77777777" w:rsidR="0077583F" w:rsidRDefault="0077583F" w:rsidP="0077583F">
            <w:pPr>
              <w:spacing w:after="0" w:line="240" w:lineRule="auto"/>
            </w:pPr>
            <w:r>
              <w:t xml:space="preserve">  Can do attitude</w:t>
            </w:r>
          </w:p>
        </w:tc>
      </w:tr>
      <w:tr w:rsidR="0077583F" w14:paraId="34BA043A" w14:textId="77777777" w:rsidTr="0077583F">
        <w:trPr>
          <w:trHeight w:hRule="exact" w:val="300"/>
        </w:trPr>
        <w:tc>
          <w:tcPr>
            <w:tcW w:w="10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515E9E1" w14:textId="77777777" w:rsidR="0077583F" w:rsidRDefault="0077583F" w:rsidP="0077583F">
            <w:pPr>
              <w:spacing w:after="0" w:line="275" w:lineRule="exact"/>
              <w:ind w:left="32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961A19" w14:paraId="1C1D643C" w14:textId="77777777" w:rsidTr="0077583F">
        <w:trPr>
          <w:trHeight w:hRule="exact" w:val="375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F458" w14:textId="0626FDA3" w:rsidR="00961A19" w:rsidRDefault="00961A19" w:rsidP="00961A19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Competency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B48D" w14:textId="20DCFD8E" w:rsidR="00961A19" w:rsidRDefault="00961A19" w:rsidP="00961A19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Descriptors</w:t>
            </w:r>
          </w:p>
        </w:tc>
      </w:tr>
      <w:tr w:rsidR="00961A19" w14:paraId="18E86739" w14:textId="77777777" w:rsidTr="00961A19">
        <w:trPr>
          <w:trHeight w:hRule="exact" w:val="967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F1EC" w14:textId="77777777" w:rsidR="00961A19" w:rsidRDefault="00961A19" w:rsidP="00961A19">
            <w:r>
              <w:t xml:space="preserve">  Drive for Excellence</w:t>
            </w:r>
          </w:p>
          <w:p w14:paraId="0DFD8AE5" w14:textId="77777777" w:rsidR="00961A19" w:rsidRDefault="00961A19" w:rsidP="00961A19"/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34E7" w14:textId="3B08D38F" w:rsidR="00961A19" w:rsidRDefault="00961A19" w:rsidP="00961A19">
            <w:r>
              <w:t>Knows the most effective and efficient processes for getting things done, with a focus on continuous improvement.</w:t>
            </w:r>
          </w:p>
        </w:tc>
      </w:tr>
      <w:tr w:rsidR="00961A19" w14:paraId="7252FD89" w14:textId="77777777" w:rsidTr="00961A19">
        <w:trPr>
          <w:trHeight w:hRule="exact" w:val="867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F335" w14:textId="77777777" w:rsidR="00961A19" w:rsidRDefault="00961A19" w:rsidP="00961A19">
            <w:r>
              <w:t xml:space="preserve">  Resource Management</w:t>
            </w:r>
          </w:p>
          <w:p w14:paraId="17D61B78" w14:textId="77777777" w:rsidR="00961A19" w:rsidRDefault="00961A19" w:rsidP="00961A19"/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856A" w14:textId="5887256C" w:rsidR="00961A19" w:rsidRDefault="00961A19" w:rsidP="00961A19">
            <w:r>
              <w:t xml:space="preserve">Effectively manages resources and cost drivers to achieve sustainability productivity and profitability. </w:t>
            </w:r>
          </w:p>
        </w:tc>
      </w:tr>
      <w:tr w:rsidR="00961A19" w14:paraId="07D8CA44" w14:textId="77777777" w:rsidTr="00961A19">
        <w:trPr>
          <w:trHeight w:hRule="exact" w:val="837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9306" w14:textId="77777777" w:rsidR="00961A19" w:rsidRDefault="00961A19" w:rsidP="00961A19">
            <w:r>
              <w:t xml:space="preserve">  Technical Expertise</w:t>
            </w:r>
          </w:p>
          <w:p w14:paraId="384275E6" w14:textId="77777777" w:rsidR="00961A19" w:rsidRDefault="00961A19" w:rsidP="00961A19"/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CB80" w14:textId="2B1C3183" w:rsidR="00961A19" w:rsidRDefault="00961A19" w:rsidP="00961A19">
            <w:r>
              <w:t xml:space="preserve">Has the skills, knowledge and experience required to excel in own area of specialism and the willingness to further grow and develop. </w:t>
            </w:r>
          </w:p>
        </w:tc>
      </w:tr>
      <w:tr w:rsidR="00961A19" w14:paraId="3A7A5035" w14:textId="77777777" w:rsidTr="00961A19">
        <w:trPr>
          <w:trHeight w:hRule="exact" w:val="1132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413C" w14:textId="73A42A61" w:rsidR="00961A19" w:rsidRDefault="00961A19" w:rsidP="00961A19">
            <w:r>
              <w:t xml:space="preserve">  Self-management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6CEB" w14:textId="7BFAC97D" w:rsidR="00961A19" w:rsidRDefault="00961A19" w:rsidP="00961A19">
            <w:r>
              <w:t xml:space="preserve">Uses a combination of feedback and reflection to gain insight into personal strengths and weaknesses, so that own time, priorities and resources can be managed to achieve goals. </w:t>
            </w:r>
          </w:p>
        </w:tc>
      </w:tr>
      <w:tr w:rsidR="00961A19" w14:paraId="7949A49E" w14:textId="77777777" w:rsidTr="00961A19">
        <w:trPr>
          <w:trHeight w:hRule="exact" w:val="1148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A14C" w14:textId="193D4C8B" w:rsidR="00961A19" w:rsidRDefault="00961A19" w:rsidP="00961A19">
            <w:r>
              <w:t xml:space="preserve">  Values People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B774" w14:textId="5FAE2FCF" w:rsidR="00961A19" w:rsidRDefault="00961A19" w:rsidP="00961A19">
            <w:r>
              <w:t xml:space="preserve">Demonstrates the belief that people are out most important asset and central to            the success of the organization. Everybody should be treated with dignity and respect at all times. </w:t>
            </w:r>
          </w:p>
        </w:tc>
      </w:tr>
      <w:tr w:rsidR="00961A19" w14:paraId="2F5969BE" w14:textId="77777777" w:rsidTr="00961A19">
        <w:trPr>
          <w:trHeight w:hRule="exact" w:val="839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F781" w14:textId="143A73F8" w:rsidR="00961A19" w:rsidRDefault="00961A19" w:rsidP="00961A19">
            <w:r>
              <w:t xml:space="preserve">  Customer Focus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C849" w14:textId="217FB1AF" w:rsidR="00961A19" w:rsidRDefault="00961A19" w:rsidP="00961A19">
            <w:r>
              <w:t>Demonstrates the understanding that the satisfaction of our internal customers and external customers/ consumers is the foundation of our success.</w:t>
            </w:r>
          </w:p>
        </w:tc>
      </w:tr>
      <w:tr w:rsidR="00961A19" w14:paraId="088644F3" w14:textId="77777777" w:rsidTr="00961A19">
        <w:trPr>
          <w:trHeight w:hRule="exact" w:val="993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55EF" w14:textId="220FD547" w:rsidR="00961A19" w:rsidRDefault="00961A19" w:rsidP="00961A19">
            <w:r>
              <w:t xml:space="preserve">  Collaborative Team Working 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A177" w14:textId="5475C4B5" w:rsidR="00961A19" w:rsidRDefault="00961A19" w:rsidP="00961A19">
            <w:r>
              <w:t>The willingness to act as part of a team and work towards achieving shared objectives through adopting best practice in line with PQP and Federalism.</w:t>
            </w:r>
          </w:p>
        </w:tc>
      </w:tr>
      <w:tr w:rsidR="00961A19" w14:paraId="37DF9B5B" w14:textId="77777777" w:rsidTr="00961A19">
        <w:trPr>
          <w:trHeight w:hRule="exact" w:val="1135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BE9C" w14:textId="1857B0A0" w:rsidR="00961A19" w:rsidRDefault="00961A19" w:rsidP="00961A19">
            <w:r>
              <w:t xml:space="preserve">Flexibility &amp; Adaptability 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2948" w14:textId="771FB74C" w:rsidR="00961A19" w:rsidRDefault="00961A19" w:rsidP="00961A19">
            <w:r>
              <w:t xml:space="preserve">The ability to change and adapt your behavior or work procedures when there is a change in the work environment, for example as a result of changing customer needs. </w:t>
            </w:r>
          </w:p>
        </w:tc>
      </w:tr>
      <w:tr w:rsidR="00961A19" w14:paraId="1A59E9B1" w14:textId="77777777" w:rsidTr="00961A19">
        <w:trPr>
          <w:trHeight w:hRule="exact" w:val="1009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F507" w14:textId="0666D8A3" w:rsidR="00961A19" w:rsidRDefault="00961A19" w:rsidP="00961A19">
            <w:r>
              <w:t xml:space="preserve">Initiative &amp; Taking Ownership 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E8E1" w14:textId="32919492" w:rsidR="00961A19" w:rsidRDefault="00961A19" w:rsidP="00961A19">
            <w:r>
              <w:t xml:space="preserve">Steps up to take personal responsibility and accountability for tasks in line with PQP and Federalism </w:t>
            </w:r>
          </w:p>
        </w:tc>
      </w:tr>
    </w:tbl>
    <w:p w14:paraId="40732EA1" w14:textId="3F99884C" w:rsidR="000933D1" w:rsidRDefault="000933D1" w:rsidP="000933D1">
      <w:pPr>
        <w:spacing w:after="0"/>
      </w:pPr>
    </w:p>
    <w:sectPr w:rsidR="000933D1">
      <w:footerReference w:type="default" r:id="rId8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35EE" w14:textId="77777777" w:rsidR="00776130" w:rsidRDefault="00776130">
      <w:pPr>
        <w:spacing w:after="0" w:line="240" w:lineRule="auto"/>
      </w:pPr>
      <w:r>
        <w:separator/>
      </w:r>
    </w:p>
  </w:endnote>
  <w:endnote w:type="continuationSeparator" w:id="0">
    <w:p w14:paraId="1726F1E0" w14:textId="77777777" w:rsidR="00776130" w:rsidRDefault="0077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5781" w14:textId="702EAA89" w:rsidR="00381E5E" w:rsidRDefault="00A564E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FF1E63" wp14:editId="4CB25333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D6121" w14:textId="7C4A9563" w:rsidR="00381E5E" w:rsidRDefault="0010465C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7BD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F1E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323D6121" w14:textId="7C4A9563" w:rsidR="00381E5E" w:rsidRDefault="0010465C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7BD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7775" w14:textId="77777777" w:rsidR="00776130" w:rsidRDefault="00776130">
      <w:pPr>
        <w:spacing w:after="0" w:line="240" w:lineRule="auto"/>
      </w:pPr>
      <w:r>
        <w:separator/>
      </w:r>
    </w:p>
  </w:footnote>
  <w:footnote w:type="continuationSeparator" w:id="0">
    <w:p w14:paraId="0F96D8D0" w14:textId="77777777" w:rsidR="00776130" w:rsidRDefault="0077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B29"/>
    <w:multiLevelType w:val="hybridMultilevel"/>
    <w:tmpl w:val="7CD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2CA3"/>
    <w:multiLevelType w:val="hybridMultilevel"/>
    <w:tmpl w:val="33D87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3297"/>
    <w:multiLevelType w:val="hybridMultilevel"/>
    <w:tmpl w:val="03D8B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4511"/>
    <w:multiLevelType w:val="hybridMultilevel"/>
    <w:tmpl w:val="A9B05E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C4CD4"/>
    <w:multiLevelType w:val="hybridMultilevel"/>
    <w:tmpl w:val="D812B5E2"/>
    <w:lvl w:ilvl="0" w:tplc="BBF08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3A90"/>
    <w:multiLevelType w:val="hybridMultilevel"/>
    <w:tmpl w:val="E82A1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82A84"/>
    <w:multiLevelType w:val="hybridMultilevel"/>
    <w:tmpl w:val="6DD2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91A49"/>
    <w:multiLevelType w:val="hybridMultilevel"/>
    <w:tmpl w:val="3E525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82538">
    <w:abstractNumId w:val="4"/>
  </w:num>
  <w:num w:numId="2" w16cid:durableId="890534493">
    <w:abstractNumId w:val="0"/>
  </w:num>
  <w:num w:numId="3" w16cid:durableId="17239784">
    <w:abstractNumId w:val="6"/>
  </w:num>
  <w:num w:numId="4" w16cid:durableId="133761920">
    <w:abstractNumId w:val="7"/>
  </w:num>
  <w:num w:numId="5" w16cid:durableId="73086276">
    <w:abstractNumId w:val="3"/>
  </w:num>
  <w:num w:numId="6" w16cid:durableId="534006265">
    <w:abstractNumId w:val="1"/>
  </w:num>
  <w:num w:numId="7" w16cid:durableId="388041338">
    <w:abstractNumId w:val="2"/>
  </w:num>
  <w:num w:numId="8" w16cid:durableId="1791632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5E"/>
    <w:rsid w:val="00033609"/>
    <w:rsid w:val="0005772A"/>
    <w:rsid w:val="000933D1"/>
    <w:rsid w:val="00094F29"/>
    <w:rsid w:val="000A11AE"/>
    <w:rsid w:val="0010465C"/>
    <w:rsid w:val="00121C90"/>
    <w:rsid w:val="0012660E"/>
    <w:rsid w:val="00161F40"/>
    <w:rsid w:val="001A1F34"/>
    <w:rsid w:val="001E3440"/>
    <w:rsid w:val="00232955"/>
    <w:rsid w:val="00280BB0"/>
    <w:rsid w:val="00295465"/>
    <w:rsid w:val="002F3BCF"/>
    <w:rsid w:val="00381E5E"/>
    <w:rsid w:val="00456ABA"/>
    <w:rsid w:val="00487CB5"/>
    <w:rsid w:val="004C2EBE"/>
    <w:rsid w:val="004E13BC"/>
    <w:rsid w:val="00511F9D"/>
    <w:rsid w:val="00523FD5"/>
    <w:rsid w:val="00572557"/>
    <w:rsid w:val="00576A79"/>
    <w:rsid w:val="00596808"/>
    <w:rsid w:val="005C3102"/>
    <w:rsid w:val="0060524F"/>
    <w:rsid w:val="0077583F"/>
    <w:rsid w:val="00776130"/>
    <w:rsid w:val="00867BD6"/>
    <w:rsid w:val="00890165"/>
    <w:rsid w:val="008D42F8"/>
    <w:rsid w:val="008F1E28"/>
    <w:rsid w:val="00914B75"/>
    <w:rsid w:val="00950902"/>
    <w:rsid w:val="00961A19"/>
    <w:rsid w:val="009A2746"/>
    <w:rsid w:val="009E0A7C"/>
    <w:rsid w:val="00A00BB1"/>
    <w:rsid w:val="00A111B9"/>
    <w:rsid w:val="00A4654E"/>
    <w:rsid w:val="00A564EF"/>
    <w:rsid w:val="00A803D6"/>
    <w:rsid w:val="00A82AE6"/>
    <w:rsid w:val="00B205E2"/>
    <w:rsid w:val="00B27394"/>
    <w:rsid w:val="00B82788"/>
    <w:rsid w:val="00C10E0F"/>
    <w:rsid w:val="00C1777F"/>
    <w:rsid w:val="00C42C44"/>
    <w:rsid w:val="00C60D51"/>
    <w:rsid w:val="00C61BE6"/>
    <w:rsid w:val="00CA5E5D"/>
    <w:rsid w:val="00CA715D"/>
    <w:rsid w:val="00D637CD"/>
    <w:rsid w:val="00D87144"/>
    <w:rsid w:val="00D91F1D"/>
    <w:rsid w:val="00D95F95"/>
    <w:rsid w:val="00DC07B6"/>
    <w:rsid w:val="00EB10B6"/>
    <w:rsid w:val="00F231D0"/>
    <w:rsid w:val="00F325AD"/>
    <w:rsid w:val="00F424FA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7D137"/>
  <w15:docId w15:val="{E366B622-254A-4D6F-AD93-06F23F07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54E"/>
    <w:pPr>
      <w:ind w:left="720"/>
      <w:contextualSpacing/>
    </w:pPr>
  </w:style>
  <w:style w:type="paragraph" w:styleId="Revision">
    <w:name w:val="Revision"/>
    <w:hidden/>
    <w:uiPriority w:val="99"/>
    <w:semiHidden/>
    <w:rsid w:val="00A111B9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690</Words>
  <Characters>4605</Characters>
  <Application>Microsoft Office Word</Application>
  <DocSecurity>0</DocSecurity>
  <Lines>143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Samworthrbrothers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Carlin</dc:creator>
  <cp:lastModifiedBy>Andy Wright</cp:lastModifiedBy>
  <cp:revision>31</cp:revision>
  <dcterms:created xsi:type="dcterms:W3CDTF">2025-10-16T09:43:00Z</dcterms:created>
  <dcterms:modified xsi:type="dcterms:W3CDTF">2026-01-30T10:44:00Z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