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28400087" w:rsidR="00952B92" w:rsidRPr="008B3B59" w:rsidRDefault="00C96BFB" w:rsidP="007A4E5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Process</w:t>
            </w:r>
            <w:r w:rsidR="005D5458">
              <w:rPr>
                <w:rFonts w:ascii="Arial" w:eastAsia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333960D9" w:rsidR="00952B92" w:rsidRPr="008B3B59" w:rsidRDefault="00C501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August 2025</w:t>
            </w:r>
            <w:r w:rsidR="00E6560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05CB0DAD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Cornwall Bakery </w:t>
            </w:r>
          </w:p>
        </w:tc>
      </w:tr>
      <w:tr w:rsidR="00952B92" w:rsidRPr="008B3B59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4AFFCC47" w:rsidR="00952B92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Technical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2BD54CCA" w:rsidR="00952B92" w:rsidRPr="008B3B59" w:rsidRDefault="00CD2CE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Callington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 w:rsidTr="005753D3">
        <w:trPr>
          <w:trHeight w:val="1068"/>
        </w:trPr>
        <w:tc>
          <w:tcPr>
            <w:tcW w:w="10207" w:type="dxa"/>
            <w:gridSpan w:val="4"/>
          </w:tcPr>
          <w:p w14:paraId="5B9E50CC" w14:textId="2F630ADF" w:rsidR="00E65605" w:rsidRDefault="00C96BFB" w:rsidP="00C96B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 for ensuring products are trialled successfully and in a timely manner for launch along with all the relevant documentation being in place</w:t>
            </w:r>
            <w:r w:rsidR="009B7CD2">
              <w:rPr>
                <w:rFonts w:ascii="Arial" w:hAnsi="Arial" w:cs="Arial"/>
              </w:rPr>
              <w:t xml:space="preserve"> in correlation with the set critical path.</w:t>
            </w:r>
          </w:p>
          <w:p w14:paraId="02DFEA2B" w14:textId="77777777" w:rsidR="002261A9" w:rsidRDefault="002261A9" w:rsidP="00C96BFB">
            <w:pPr>
              <w:jc w:val="both"/>
              <w:rPr>
                <w:rFonts w:ascii="Arial" w:hAnsi="Arial" w:cs="Arial"/>
              </w:rPr>
            </w:pPr>
          </w:p>
          <w:p w14:paraId="6D5C1B0D" w14:textId="086B108F" w:rsidR="002261A9" w:rsidRPr="00724852" w:rsidRDefault="002261A9" w:rsidP="00C96B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 for the progression and completion of the Recipe Professor Project workflow</w:t>
            </w:r>
            <w:r w:rsidR="007E5792">
              <w:rPr>
                <w:rFonts w:ascii="Arial" w:hAnsi="Arial" w:cs="Arial"/>
              </w:rPr>
              <w:t>.</w:t>
            </w:r>
          </w:p>
          <w:p w14:paraId="7672CEEB" w14:textId="353E3351" w:rsidR="00C96BFB" w:rsidRDefault="00C96BFB" w:rsidP="00C96BFB">
            <w:pPr>
              <w:jc w:val="both"/>
              <w:rPr>
                <w:rFonts w:ascii="Arial" w:hAnsi="Arial" w:cs="Arial"/>
              </w:rPr>
            </w:pPr>
          </w:p>
          <w:p w14:paraId="2E437C53" w14:textId="45FE22C3" w:rsidR="00C96BFB" w:rsidRDefault="00C96BFB" w:rsidP="00C96B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Liaise with </w:t>
            </w:r>
            <w:r w:rsidR="0054519D">
              <w:rPr>
                <w:rFonts w:ascii="Arial" w:hAnsi="Arial" w:cs="Arial"/>
              </w:rPr>
              <w:t>external customers,</w:t>
            </w:r>
            <w:r w:rsidR="007E579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operations/supply chain/NPD &amp; commercial to ensure the critical path is achieved</w:t>
            </w:r>
            <w:r w:rsidR="00302544">
              <w:rPr>
                <w:rFonts w:ascii="Arial" w:hAnsi="Arial" w:cs="Arial"/>
              </w:rPr>
              <w:t xml:space="preserve"> in relation to any process or packaging tasks</w:t>
            </w:r>
            <w:r w:rsidR="007E5792">
              <w:rPr>
                <w:rFonts w:ascii="Arial" w:hAnsi="Arial" w:cs="Arial"/>
              </w:rPr>
              <w:t>.</w:t>
            </w:r>
          </w:p>
          <w:p w14:paraId="16FF3E41" w14:textId="77777777" w:rsidR="00C96BFB" w:rsidRPr="00724852" w:rsidRDefault="00C96BFB" w:rsidP="00C96BFB">
            <w:pPr>
              <w:jc w:val="both"/>
              <w:rPr>
                <w:rFonts w:ascii="Arial" w:hAnsi="Arial" w:cs="Arial"/>
              </w:rPr>
            </w:pPr>
          </w:p>
          <w:p w14:paraId="59040433" w14:textId="77777777" w:rsidR="00C96BFB" w:rsidRDefault="00C96BFB" w:rsidP="00C96BFB">
            <w:pPr>
              <w:jc w:val="both"/>
              <w:rPr>
                <w:rFonts w:ascii="Arial" w:hAnsi="Arial" w:cs="Arial"/>
              </w:rPr>
            </w:pPr>
            <w:r w:rsidRPr="00724852">
              <w:rPr>
                <w:rFonts w:ascii="Arial" w:hAnsi="Arial" w:cs="Arial"/>
              </w:rPr>
              <w:t>Maintain close and effective cross-functional links between Process, Development, Technical, Operations and Continuous Improvement.</w:t>
            </w:r>
          </w:p>
          <w:p w14:paraId="0A220866" w14:textId="77777777" w:rsidR="00C96BFB" w:rsidRDefault="00C96BFB" w:rsidP="00C96BFB">
            <w:pPr>
              <w:jc w:val="both"/>
              <w:rPr>
                <w:rFonts w:ascii="Arial" w:hAnsi="Arial" w:cs="Arial"/>
              </w:rPr>
            </w:pPr>
          </w:p>
          <w:p w14:paraId="56A8EBCC" w14:textId="02E58F2E" w:rsidR="00C96BFB" w:rsidRDefault="00C96BFB" w:rsidP="00C96B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Management of </w:t>
            </w:r>
            <w:r w:rsidR="006F2D06">
              <w:rPr>
                <w:rFonts w:ascii="Arial" w:hAnsi="Arial" w:cs="Arial"/>
              </w:rPr>
              <w:t>Senior Process Techs, Process Tech</w:t>
            </w:r>
            <w:r w:rsidR="008818FB">
              <w:rPr>
                <w:rFonts w:ascii="Arial" w:hAnsi="Arial" w:cs="Arial"/>
              </w:rPr>
              <w:t>s</w:t>
            </w:r>
            <w:r w:rsidR="006F2D06">
              <w:rPr>
                <w:rFonts w:ascii="Arial" w:hAnsi="Arial" w:cs="Arial"/>
              </w:rPr>
              <w:t xml:space="preserve"> and Packaging Techs </w:t>
            </w:r>
            <w:r>
              <w:rPr>
                <w:rFonts w:ascii="Arial" w:hAnsi="Arial" w:cs="Arial"/>
              </w:rPr>
              <w:t xml:space="preserve"> </w:t>
            </w:r>
          </w:p>
          <w:p w14:paraId="099BD59F" w14:textId="77777777" w:rsidR="00B668AC" w:rsidRPr="008B3B59" w:rsidRDefault="00B668AC" w:rsidP="00C96BF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77FCA7B6" w:rsidR="00952B92" w:rsidRPr="008B3B59" w:rsidRDefault="006F2D0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TCB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 xml:space="preserve">Technical Manager 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6F9CE895" w:rsidR="00952B92" w:rsidRPr="008B3B59" w:rsidRDefault="008968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Senior Process Techs, </w:t>
            </w:r>
            <w:r w:rsidR="00CD2CE5">
              <w:rPr>
                <w:rFonts w:ascii="Arial" w:eastAsia="Arial" w:hAnsi="Arial" w:cs="Arial"/>
                <w:sz w:val="22"/>
                <w:szCs w:val="22"/>
              </w:rPr>
              <w:t xml:space="preserve">Process </w:t>
            </w:r>
            <w:r w:rsidR="0033576D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CD2CE5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>chnologists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CD2CE5">
              <w:rPr>
                <w:rFonts w:ascii="Arial" w:eastAsia="Arial" w:hAnsi="Arial" w:cs="Arial"/>
                <w:sz w:val="22"/>
                <w:szCs w:val="22"/>
              </w:rPr>
              <w:t xml:space="preserve"> Packaging Technologists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289ED91D" w:rsidR="00D25A13" w:rsidRPr="008B3B59" w:rsidRDefault="005D545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Operations team, </w:t>
            </w:r>
            <w:r w:rsidR="00C96BFB">
              <w:rPr>
                <w:rFonts w:ascii="Arial" w:eastAsia="Arial" w:hAnsi="Arial" w:cs="Arial"/>
                <w:sz w:val="22"/>
                <w:szCs w:val="22"/>
              </w:rPr>
              <w:t>Technical Team, NPD Team</w:t>
            </w:r>
            <w:r w:rsidR="008968A2">
              <w:rPr>
                <w:rFonts w:ascii="Arial" w:eastAsia="Arial" w:hAnsi="Arial" w:cs="Arial"/>
                <w:sz w:val="22"/>
                <w:szCs w:val="22"/>
              </w:rPr>
              <w:t xml:space="preserve">, Commercial 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2E128EDF" w:rsidR="00312B55" w:rsidRPr="008B3B59" w:rsidRDefault="005D5458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Customers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553C5DBE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r w:rsidR="005D5458"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AND</w:t>
            </w: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5D5458" w:rsidRDefault="00952B92" w:rsidP="00B668AC">
            <w:pPr>
              <w:rPr>
                <w:rFonts w:ascii="Arial" w:hAnsi="Arial" w:cs="Arial"/>
              </w:rPr>
            </w:pPr>
          </w:p>
          <w:p w14:paraId="793655E6" w14:textId="2D5A870E" w:rsidR="00C96BFB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Effective planning and management of the process team as a key business resource and function. Leadership of effective trials.</w:t>
            </w:r>
          </w:p>
          <w:p w14:paraId="0D4055D5" w14:textId="77777777" w:rsidR="009B56BF" w:rsidRDefault="009B56BF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6B03C743" w14:textId="7B2D0A48" w:rsidR="009B56BF" w:rsidRPr="00724852" w:rsidRDefault="009B56BF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Attend feasibility meetings and feedback</w:t>
            </w:r>
            <w:r w:rsidR="00274764">
              <w:rPr>
                <w:rFonts w:ascii="Tahoma" w:hAnsi="Tahoma" w:cs="Tahoma"/>
              </w:rPr>
              <w:t xml:space="preserve"> or escalate</w:t>
            </w:r>
            <w:r>
              <w:rPr>
                <w:rFonts w:ascii="Tahoma" w:hAnsi="Tahoma" w:cs="Tahoma"/>
              </w:rPr>
              <w:t xml:space="preserve"> any builds</w:t>
            </w:r>
            <w:r w:rsidR="00274764">
              <w:rPr>
                <w:rFonts w:ascii="Tahoma" w:hAnsi="Tahoma" w:cs="Tahoma"/>
              </w:rPr>
              <w:t>/observations in a timely manner.</w:t>
            </w:r>
          </w:p>
          <w:p w14:paraId="348A4700" w14:textId="77777777" w:rsidR="00C96BFB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37D29AF3" w14:textId="77777777" w:rsidR="00C96BFB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Management of the Packaging Technologists ensuring adequate technical specifications exist for all packaging. Associated databases are up to date at all times and any additional supplier controls are monitored.</w:t>
            </w:r>
          </w:p>
          <w:p w14:paraId="258F2EDA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01051B1E" w14:textId="174B86EE" w:rsidR="00C96BFB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 xml:space="preserve">Management of the maintenance of required trial records.  This will include all information required for recipes, specifications and costings. Ensure a ’Product File’ is completed for each product and that data is </w:t>
            </w:r>
            <w:r w:rsidR="00887E1B">
              <w:rPr>
                <w:rFonts w:ascii="Tahoma" w:hAnsi="Tahoma" w:cs="Tahoma"/>
              </w:rPr>
              <w:t>provided for the</w:t>
            </w:r>
            <w:r w:rsidRPr="00724852">
              <w:rPr>
                <w:rFonts w:ascii="Tahoma" w:hAnsi="Tahoma" w:cs="Tahoma"/>
              </w:rPr>
              <w:t xml:space="preserve"> final</w:t>
            </w:r>
            <w:r w:rsidR="00887E1B">
              <w:rPr>
                <w:rFonts w:ascii="Tahoma" w:hAnsi="Tahoma" w:cs="Tahoma"/>
              </w:rPr>
              <w:t xml:space="preserve"> product</w:t>
            </w:r>
            <w:r w:rsidRPr="00724852">
              <w:rPr>
                <w:rFonts w:ascii="Tahoma" w:hAnsi="Tahoma" w:cs="Tahoma"/>
              </w:rPr>
              <w:t xml:space="preserve"> specification within relevant time scales including technical requirements and in accordance with the customer</w:t>
            </w:r>
            <w:r w:rsidR="00887E1B">
              <w:rPr>
                <w:rFonts w:ascii="Tahoma" w:hAnsi="Tahoma" w:cs="Tahoma"/>
              </w:rPr>
              <w:t xml:space="preserve"> and site</w:t>
            </w:r>
            <w:r w:rsidRPr="00724852">
              <w:rPr>
                <w:rFonts w:ascii="Tahoma" w:hAnsi="Tahoma" w:cs="Tahoma"/>
              </w:rPr>
              <w:t xml:space="preserve"> critical path. </w:t>
            </w:r>
          </w:p>
          <w:p w14:paraId="0D3B352B" w14:textId="77777777" w:rsidR="001833F4" w:rsidRDefault="001833F4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6C6B86E6" w14:textId="32E38151" w:rsidR="001833F4" w:rsidRDefault="001833F4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Ensure Recipe Professor Workflow projects </w:t>
            </w:r>
            <w:r w:rsidR="00887E1B">
              <w:rPr>
                <w:rFonts w:ascii="Tahoma" w:hAnsi="Tahoma" w:cs="Tahoma"/>
              </w:rPr>
              <w:t>are completed in</w:t>
            </w:r>
            <w:r w:rsidR="009C3C40">
              <w:rPr>
                <w:rFonts w:ascii="Tahoma" w:hAnsi="Tahoma" w:cs="Tahoma"/>
              </w:rPr>
              <w:t xml:space="preserve"> </w:t>
            </w:r>
            <w:r w:rsidR="00887E1B">
              <w:rPr>
                <w:rFonts w:ascii="Tahoma" w:hAnsi="Tahoma" w:cs="Tahoma"/>
              </w:rPr>
              <w:t>line with critical path.</w:t>
            </w:r>
          </w:p>
          <w:p w14:paraId="32CE570E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3BEE1109" w14:textId="679CF0F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Manage the interaction with the finance department in providing information to achieve accurate product costings</w:t>
            </w:r>
            <w:r w:rsidR="00887E1B">
              <w:rPr>
                <w:rFonts w:ascii="Tahoma" w:hAnsi="Tahoma" w:cs="Tahoma"/>
              </w:rPr>
              <w:t>, communicating any NPD or EPD recipe changes.</w:t>
            </w:r>
          </w:p>
          <w:p w14:paraId="37105685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08D3FFDD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Interface with relevant internal departments and customer technologists to ensure products are presented and meet quality standards demanded and agreed.</w:t>
            </w:r>
          </w:p>
          <w:p w14:paraId="480B8911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7D962B76" w14:textId="357DA30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 xml:space="preserve">Plan and manage effective and professional customer </w:t>
            </w:r>
            <w:r w:rsidR="0033576D">
              <w:rPr>
                <w:rFonts w:ascii="Tahoma" w:hAnsi="Tahoma" w:cs="Tahoma"/>
              </w:rPr>
              <w:t>pre-production</w:t>
            </w:r>
            <w:r w:rsidRPr="00724852">
              <w:rPr>
                <w:rFonts w:ascii="Tahoma" w:hAnsi="Tahoma" w:cs="Tahoma"/>
              </w:rPr>
              <w:t xml:space="preserve"> visits </w:t>
            </w:r>
            <w:r w:rsidR="00416CC6">
              <w:rPr>
                <w:rFonts w:ascii="Tahoma" w:hAnsi="Tahoma" w:cs="Tahoma"/>
              </w:rPr>
              <w:t xml:space="preserve"> and launches </w:t>
            </w:r>
            <w:r w:rsidRPr="00724852">
              <w:rPr>
                <w:rFonts w:ascii="Tahoma" w:hAnsi="Tahoma" w:cs="Tahoma"/>
              </w:rPr>
              <w:t>with clear plans, agendas</w:t>
            </w:r>
            <w:r>
              <w:rPr>
                <w:rFonts w:ascii="Tahoma" w:hAnsi="Tahoma" w:cs="Tahoma"/>
              </w:rPr>
              <w:t>, objectives and actions recorded.</w:t>
            </w:r>
          </w:p>
          <w:p w14:paraId="53CD13E5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7D81152D" w14:textId="226A6056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Ensure</w:t>
            </w:r>
            <w:r>
              <w:rPr>
                <w:rFonts w:ascii="Tahoma" w:hAnsi="Tahoma" w:cs="Tahoma"/>
              </w:rPr>
              <w:t xml:space="preserve"> achievable and detailed</w:t>
            </w:r>
            <w:r w:rsidRPr="00724852">
              <w:rPr>
                <w:rFonts w:ascii="Tahoma" w:hAnsi="Tahoma" w:cs="Tahoma"/>
              </w:rPr>
              <w:t xml:space="preserve"> QAS</w:t>
            </w:r>
            <w:r w:rsidR="00416CC6">
              <w:rPr>
                <w:rFonts w:ascii="Tahoma" w:hAnsi="Tahoma" w:cs="Tahoma"/>
              </w:rPr>
              <w:t xml:space="preserve"> / Quality contract</w:t>
            </w:r>
            <w:r w:rsidRPr="00724852">
              <w:rPr>
                <w:rFonts w:ascii="Tahoma" w:hAnsi="Tahoma" w:cs="Tahoma"/>
              </w:rPr>
              <w:t xml:space="preserve"> sheets are created by team to fit c</w:t>
            </w:r>
            <w:r>
              <w:rPr>
                <w:rFonts w:ascii="Tahoma" w:hAnsi="Tahoma" w:cs="Tahoma"/>
              </w:rPr>
              <w:t>ustomer and bakery requirements.</w:t>
            </w:r>
          </w:p>
          <w:p w14:paraId="5C164925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5E00FC90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To be proactive in dealing with any production issues following recently launched products in conjunction with other departments.</w:t>
            </w:r>
          </w:p>
          <w:p w14:paraId="66E5FE45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205894BB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Ensure customer deadlines for trials and samples are met and that customers are sent s</w:t>
            </w:r>
            <w:r>
              <w:rPr>
                <w:rFonts w:ascii="Tahoma" w:hAnsi="Tahoma" w:cs="Tahoma"/>
              </w:rPr>
              <w:t>amples of trials for assessment – Includes packaging trials and transit trial management.</w:t>
            </w:r>
          </w:p>
          <w:p w14:paraId="014E807C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3BA3D184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>Liaise closely with the technical teams, purchasing teams and finance teams to achieve technical compliance for all products, ensure raw materials and ingredients are ordered on time, technical val</w:t>
            </w:r>
            <w:r>
              <w:rPr>
                <w:rFonts w:ascii="Tahoma" w:hAnsi="Tahoma" w:cs="Tahoma"/>
              </w:rPr>
              <w:t>idation of micro and shelf life.</w:t>
            </w:r>
          </w:p>
          <w:p w14:paraId="16A97ED6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7F739A6D" w14:textId="6110518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Maintain</w:t>
            </w:r>
            <w:r w:rsidRPr="00724852">
              <w:rPr>
                <w:rFonts w:ascii="Tahoma" w:hAnsi="Tahoma" w:cs="Tahoma"/>
              </w:rPr>
              <w:t xml:space="preserve"> the appropriate systems for new product and new process trials</w:t>
            </w:r>
            <w:r w:rsidR="006A706C">
              <w:rPr>
                <w:rFonts w:ascii="Tahoma" w:hAnsi="Tahoma" w:cs="Tahoma"/>
              </w:rPr>
              <w:t xml:space="preserve"> </w:t>
            </w:r>
          </w:p>
          <w:p w14:paraId="10F83AC4" w14:textId="77777777" w:rsidR="00C96BFB" w:rsidRPr="00724852" w:rsidRDefault="00C96BFB" w:rsidP="00C96BFB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  <w:p w14:paraId="0AD3FF1F" w14:textId="428E1FC3" w:rsidR="00B668AC" w:rsidRDefault="00C96BFB" w:rsidP="006A706C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  <w:r w:rsidRPr="00724852">
              <w:rPr>
                <w:rFonts w:ascii="Tahoma" w:hAnsi="Tahoma" w:cs="Tahoma"/>
              </w:rPr>
              <w:t xml:space="preserve">Build </w:t>
            </w:r>
            <w:r w:rsidR="0033576D">
              <w:rPr>
                <w:rFonts w:ascii="Tahoma" w:hAnsi="Tahoma" w:cs="Tahoma"/>
              </w:rPr>
              <w:t xml:space="preserve">a </w:t>
            </w:r>
            <w:r w:rsidRPr="00724852">
              <w:rPr>
                <w:rFonts w:ascii="Tahoma" w:hAnsi="Tahoma" w:cs="Tahoma"/>
              </w:rPr>
              <w:t>strong relationship with the manufacturing teams</w:t>
            </w:r>
            <w:r w:rsidR="009C3C40">
              <w:rPr>
                <w:rFonts w:ascii="Tahoma" w:hAnsi="Tahoma" w:cs="Tahoma"/>
              </w:rPr>
              <w:t>, NPD teams</w:t>
            </w:r>
            <w:r w:rsidR="009B56BF">
              <w:rPr>
                <w:rFonts w:ascii="Tahoma" w:hAnsi="Tahoma" w:cs="Tahoma"/>
              </w:rPr>
              <w:t xml:space="preserve"> and customers</w:t>
            </w:r>
            <w:r w:rsidRPr="00724852">
              <w:rPr>
                <w:rFonts w:ascii="Tahoma" w:hAnsi="Tahoma" w:cs="Tahoma"/>
              </w:rPr>
              <w:t xml:space="preserve"> to ensure ownership and pride in the launch of new products from the first trial.</w:t>
            </w:r>
          </w:p>
          <w:p w14:paraId="43F75E06" w14:textId="030C52E0" w:rsidR="006A706C" w:rsidRPr="006A706C" w:rsidRDefault="006A706C" w:rsidP="006A706C">
            <w:pPr>
              <w:tabs>
                <w:tab w:val="num" w:pos="360"/>
                <w:tab w:val="left" w:pos="1350"/>
                <w:tab w:val="left" w:pos="1440"/>
                <w:tab w:val="left" w:pos="1620"/>
              </w:tabs>
              <w:rPr>
                <w:rFonts w:ascii="Tahoma" w:hAnsi="Tahoma" w:cs="Tahoma"/>
              </w:rPr>
            </w:pP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Default="00E93627" w:rsidP="00B668AC">
            <w:pPr>
              <w:rPr>
                <w:rFonts w:ascii="Arial" w:eastAsia="Arial" w:hAnsi="Arial" w:cs="Arial"/>
                <w:color w:val="FFFFFF"/>
              </w:rPr>
            </w:pPr>
          </w:p>
          <w:p w14:paraId="157426D7" w14:textId="127FCC97" w:rsidR="00D02624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 xml:space="preserve">Degree/HND or equivalent in a science subject. </w:t>
            </w:r>
          </w:p>
          <w:p w14:paraId="2402CFC3" w14:textId="77777777" w:rsidR="00D02624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 xml:space="preserve">Previous Technical experience of FMCG food related manufacturing operations. (Essential) </w:t>
            </w:r>
          </w:p>
          <w:p w14:paraId="1AE93486" w14:textId="77777777" w:rsidR="00D02624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 xml:space="preserve">Proven track record of managing a team and diverse technical and process activities. </w:t>
            </w:r>
          </w:p>
          <w:p w14:paraId="7F90B37F" w14:textId="77777777" w:rsidR="00D02624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>Ability to interact with high profile customers</w:t>
            </w:r>
          </w:p>
          <w:p w14:paraId="6D42FF87" w14:textId="1ECAC3FA" w:rsidR="00D02624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>Previous experience of retail stage and gate processes.</w:t>
            </w:r>
          </w:p>
          <w:p w14:paraId="253911B3" w14:textId="77777777" w:rsidR="00B668AC" w:rsidRPr="0033576D" w:rsidRDefault="00D02624" w:rsidP="00D02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576D">
              <w:rPr>
                <w:rFonts w:ascii="Arial" w:hAnsi="Arial" w:cs="Arial"/>
                <w:sz w:val="20"/>
                <w:szCs w:val="20"/>
              </w:rPr>
              <w:t>Knowledge of cook/cool validation processes.</w:t>
            </w:r>
          </w:p>
          <w:p w14:paraId="45566247" w14:textId="7542F835" w:rsidR="0033576D" w:rsidRPr="00D02624" w:rsidRDefault="0033576D" w:rsidP="0033576D">
            <w:pPr>
              <w:pStyle w:val="ListParagraph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belief that people are our most important asset and central to the success of the organisation. Everybody should be treated with dignity and respect at all times.</w:t>
            </w:r>
          </w:p>
        </w:tc>
      </w:tr>
      <w:tr w:rsidR="008B3B59" w:rsidRPr="008B3B59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83787B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83787B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83787B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8F40F9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2A3BA2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83787B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8F40F9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2A3BA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change and adapt own behaviour or work procedures when there is a change in the work environment, for example as a result of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83787B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8F40F9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7C22D7" w:rsidRPr="008B3B59" w14:paraId="175AAA52" w14:textId="77777777" w:rsidTr="00E93627">
        <w:trPr>
          <w:trHeight w:val="805"/>
        </w:trPr>
        <w:tc>
          <w:tcPr>
            <w:tcW w:w="2565" w:type="dxa"/>
          </w:tcPr>
          <w:p w14:paraId="4C2C7A5D" w14:textId="24C6BCB4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615F12A2" w14:textId="7742139D" w:rsidR="007C22D7" w:rsidRPr="0083787B" w:rsidRDefault="007C22D7" w:rsidP="0083787B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F40F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understand people and their motivations, build good relationships with them and help them unlock their potential.</w:t>
            </w:r>
          </w:p>
        </w:tc>
      </w:tr>
      <w:tr w:rsidR="007C22D7" w:rsidRPr="008B3B59" w14:paraId="0BB2480C" w14:textId="77777777" w:rsidTr="00E93627">
        <w:trPr>
          <w:trHeight w:val="831"/>
        </w:trPr>
        <w:tc>
          <w:tcPr>
            <w:tcW w:w="2565" w:type="dxa"/>
          </w:tcPr>
          <w:p w14:paraId="0C44BA9F" w14:textId="3CF76BA7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43B82D65" w14:textId="7AE9C067" w:rsidR="007C22D7" w:rsidRPr="0083787B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Creates an environment where people feel required and enabled to take ownership and responsibility.</w:t>
            </w:r>
          </w:p>
        </w:tc>
      </w:tr>
      <w:tr w:rsidR="007C22D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74872E58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Coaching for performance</w:t>
            </w:r>
          </w:p>
        </w:tc>
        <w:tc>
          <w:tcPr>
            <w:tcW w:w="7642" w:type="dxa"/>
            <w:gridSpan w:val="3"/>
          </w:tcPr>
          <w:p w14:paraId="1CF4A857" w14:textId="0109DAC9" w:rsidR="007C22D7" w:rsidRPr="0083787B" w:rsidRDefault="007C22D7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help others achieve more through two-way feedback, clear direction and enabling.</w:t>
            </w:r>
          </w:p>
        </w:tc>
      </w:tr>
      <w:tr w:rsidR="007C22D7" w:rsidRPr="008B3B59" w14:paraId="0B39DD3E" w14:textId="77777777" w:rsidTr="00E93627">
        <w:trPr>
          <w:trHeight w:val="831"/>
        </w:trPr>
        <w:tc>
          <w:tcPr>
            <w:tcW w:w="2565" w:type="dxa"/>
          </w:tcPr>
          <w:p w14:paraId="793E6C4F" w14:textId="721B0B63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Analysis &amp; Planning</w:t>
            </w:r>
          </w:p>
        </w:tc>
        <w:tc>
          <w:tcPr>
            <w:tcW w:w="7642" w:type="dxa"/>
            <w:gridSpan w:val="3"/>
          </w:tcPr>
          <w:p w14:paraId="7ACFA6AB" w14:textId="1290C1EA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ability to take a range of information, think things through logically and prioritise work to meet commitments aligned with organisational goals.</w:t>
            </w:r>
          </w:p>
        </w:tc>
      </w:tr>
      <w:tr w:rsidR="007C22D7" w:rsidRPr="008B3B59" w14:paraId="10420613" w14:textId="77777777" w:rsidTr="00E93627">
        <w:trPr>
          <w:trHeight w:val="831"/>
        </w:trPr>
        <w:tc>
          <w:tcPr>
            <w:tcW w:w="2565" w:type="dxa"/>
          </w:tcPr>
          <w:p w14:paraId="0EFCFDAF" w14:textId="566BF111" w:rsidR="007C22D7" w:rsidRPr="0083787B" w:rsidRDefault="007C22D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A9CE676" w14:textId="060C08D3" w:rsidR="007C22D7" w:rsidRPr="008F40F9" w:rsidRDefault="007C22D7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842A1D">
              <w:rPr>
                <w:rFonts w:ascii="Arial" w:eastAsia="Arial" w:hAnsi="Arial" w:cs="Arial"/>
                <w:i/>
                <w:iCs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8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B723" w14:textId="77777777" w:rsidR="0051338C" w:rsidRDefault="0051338C">
      <w:r>
        <w:separator/>
      </w:r>
    </w:p>
  </w:endnote>
  <w:endnote w:type="continuationSeparator" w:id="0">
    <w:p w14:paraId="17811BBC" w14:textId="77777777" w:rsidR="0051338C" w:rsidRDefault="0051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D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DA53" w14:textId="77777777" w:rsidR="0051338C" w:rsidRDefault="0051338C">
      <w:r>
        <w:separator/>
      </w:r>
    </w:p>
  </w:footnote>
  <w:footnote w:type="continuationSeparator" w:id="0">
    <w:p w14:paraId="6B23BB6B" w14:textId="77777777" w:rsidR="0051338C" w:rsidRDefault="0051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010C"/>
    <w:multiLevelType w:val="multilevel"/>
    <w:tmpl w:val="A7944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377C4"/>
    <w:multiLevelType w:val="multilevel"/>
    <w:tmpl w:val="FA18F3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921C4"/>
    <w:multiLevelType w:val="multilevel"/>
    <w:tmpl w:val="33E8D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719"/>
    <w:multiLevelType w:val="hybridMultilevel"/>
    <w:tmpl w:val="71C883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C6024"/>
    <w:multiLevelType w:val="multilevel"/>
    <w:tmpl w:val="1D88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32518"/>
    <w:multiLevelType w:val="multilevel"/>
    <w:tmpl w:val="68FCF7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11CE"/>
    <w:multiLevelType w:val="multilevel"/>
    <w:tmpl w:val="8BAA98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603AD"/>
    <w:multiLevelType w:val="multilevel"/>
    <w:tmpl w:val="58620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D85FCE"/>
    <w:multiLevelType w:val="multilevel"/>
    <w:tmpl w:val="48D44C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E2EB9"/>
    <w:multiLevelType w:val="multilevel"/>
    <w:tmpl w:val="3A6A55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0B98"/>
    <w:multiLevelType w:val="hybridMultilevel"/>
    <w:tmpl w:val="0A5E0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D54D7"/>
    <w:multiLevelType w:val="multilevel"/>
    <w:tmpl w:val="0290C1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41778"/>
    <w:multiLevelType w:val="multilevel"/>
    <w:tmpl w:val="06D2E9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11458"/>
    <w:multiLevelType w:val="hybridMultilevel"/>
    <w:tmpl w:val="347A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13042"/>
    <w:multiLevelType w:val="hybridMultilevel"/>
    <w:tmpl w:val="04CE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52FE7"/>
    <w:multiLevelType w:val="multilevel"/>
    <w:tmpl w:val="E2EE52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285D7B"/>
    <w:multiLevelType w:val="multilevel"/>
    <w:tmpl w:val="02CA52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77C17"/>
    <w:multiLevelType w:val="hybridMultilevel"/>
    <w:tmpl w:val="841E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13890"/>
    <w:multiLevelType w:val="multilevel"/>
    <w:tmpl w:val="572A5B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BF1C75"/>
    <w:multiLevelType w:val="multilevel"/>
    <w:tmpl w:val="B570FA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9065F9"/>
    <w:multiLevelType w:val="multilevel"/>
    <w:tmpl w:val="BEF0B5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C70901"/>
    <w:multiLevelType w:val="multilevel"/>
    <w:tmpl w:val="378E9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924139">
    <w:abstractNumId w:val="14"/>
  </w:num>
  <w:num w:numId="2" w16cid:durableId="2108846191">
    <w:abstractNumId w:val="19"/>
  </w:num>
  <w:num w:numId="3" w16cid:durableId="1273123287">
    <w:abstractNumId w:val="4"/>
  </w:num>
  <w:num w:numId="4" w16cid:durableId="76370350">
    <w:abstractNumId w:val="2"/>
  </w:num>
  <w:num w:numId="5" w16cid:durableId="1016883912">
    <w:abstractNumId w:val="23"/>
  </w:num>
  <w:num w:numId="6" w16cid:durableId="969364465">
    <w:abstractNumId w:val="9"/>
  </w:num>
  <w:num w:numId="7" w16cid:durableId="52193770">
    <w:abstractNumId w:val="12"/>
  </w:num>
  <w:num w:numId="8" w16cid:durableId="1885559537">
    <w:abstractNumId w:val="16"/>
  </w:num>
  <w:num w:numId="9" w16cid:durableId="1917011361">
    <w:abstractNumId w:val="8"/>
  </w:num>
  <w:num w:numId="10" w16cid:durableId="316884045">
    <w:abstractNumId w:val="5"/>
  </w:num>
  <w:num w:numId="11" w16cid:durableId="458453106">
    <w:abstractNumId w:val="22"/>
  </w:num>
  <w:num w:numId="12" w16cid:durableId="1192458567">
    <w:abstractNumId w:val="0"/>
  </w:num>
  <w:num w:numId="13" w16cid:durableId="8605143">
    <w:abstractNumId w:val="6"/>
  </w:num>
  <w:num w:numId="14" w16cid:durableId="1653102312">
    <w:abstractNumId w:val="11"/>
  </w:num>
  <w:num w:numId="15" w16cid:durableId="1712993087">
    <w:abstractNumId w:val="21"/>
  </w:num>
  <w:num w:numId="16" w16cid:durableId="1195071464">
    <w:abstractNumId w:val="1"/>
  </w:num>
  <w:num w:numId="17" w16cid:durableId="1095832526">
    <w:abstractNumId w:val="17"/>
  </w:num>
  <w:num w:numId="18" w16cid:durableId="523397440">
    <w:abstractNumId w:val="7"/>
  </w:num>
  <w:num w:numId="19" w16cid:durableId="1771968920">
    <w:abstractNumId w:val="20"/>
  </w:num>
  <w:num w:numId="20" w16cid:durableId="1174148118">
    <w:abstractNumId w:val="3"/>
  </w:num>
  <w:num w:numId="21" w16cid:durableId="795372065">
    <w:abstractNumId w:val="10"/>
  </w:num>
  <w:num w:numId="22" w16cid:durableId="1377782034">
    <w:abstractNumId w:val="15"/>
  </w:num>
  <w:num w:numId="23" w16cid:durableId="319309435">
    <w:abstractNumId w:val="18"/>
  </w:num>
  <w:num w:numId="24" w16cid:durableId="1945573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54D0D"/>
    <w:rsid w:val="00140E8C"/>
    <w:rsid w:val="001833F4"/>
    <w:rsid w:val="001C1BFA"/>
    <w:rsid w:val="001F46DB"/>
    <w:rsid w:val="002261A9"/>
    <w:rsid w:val="00247CD4"/>
    <w:rsid w:val="002603C4"/>
    <w:rsid w:val="00274764"/>
    <w:rsid w:val="002A3BA2"/>
    <w:rsid w:val="00302544"/>
    <w:rsid w:val="00312B55"/>
    <w:rsid w:val="003168DA"/>
    <w:rsid w:val="003221B0"/>
    <w:rsid w:val="0033077C"/>
    <w:rsid w:val="0033576D"/>
    <w:rsid w:val="003D2099"/>
    <w:rsid w:val="00416CC6"/>
    <w:rsid w:val="00430615"/>
    <w:rsid w:val="00496895"/>
    <w:rsid w:val="004F1B46"/>
    <w:rsid w:val="0051338C"/>
    <w:rsid w:val="0053681C"/>
    <w:rsid w:val="0054519D"/>
    <w:rsid w:val="005753D3"/>
    <w:rsid w:val="00584C48"/>
    <w:rsid w:val="005D5458"/>
    <w:rsid w:val="006A222E"/>
    <w:rsid w:val="006A706C"/>
    <w:rsid w:val="006B1D8A"/>
    <w:rsid w:val="006D7B45"/>
    <w:rsid w:val="006F2D06"/>
    <w:rsid w:val="007A4E52"/>
    <w:rsid w:val="007C22D7"/>
    <w:rsid w:val="007C6F24"/>
    <w:rsid w:val="007E1F0D"/>
    <w:rsid w:val="007E5792"/>
    <w:rsid w:val="007F6028"/>
    <w:rsid w:val="00807480"/>
    <w:rsid w:val="0083787B"/>
    <w:rsid w:val="008818FB"/>
    <w:rsid w:val="00887E1B"/>
    <w:rsid w:val="008968A2"/>
    <w:rsid w:val="008B3B55"/>
    <w:rsid w:val="008B3B59"/>
    <w:rsid w:val="008D39D7"/>
    <w:rsid w:val="008F40F9"/>
    <w:rsid w:val="00926341"/>
    <w:rsid w:val="009465D7"/>
    <w:rsid w:val="00952B92"/>
    <w:rsid w:val="00981135"/>
    <w:rsid w:val="009B56BF"/>
    <w:rsid w:val="009B7CD2"/>
    <w:rsid w:val="009C3C40"/>
    <w:rsid w:val="00A0769F"/>
    <w:rsid w:val="00A660BF"/>
    <w:rsid w:val="00AA05B5"/>
    <w:rsid w:val="00B54FA1"/>
    <w:rsid w:val="00B668AC"/>
    <w:rsid w:val="00B86BD9"/>
    <w:rsid w:val="00BB1310"/>
    <w:rsid w:val="00BC020B"/>
    <w:rsid w:val="00C501D5"/>
    <w:rsid w:val="00C96BFB"/>
    <w:rsid w:val="00CD2CE5"/>
    <w:rsid w:val="00D02624"/>
    <w:rsid w:val="00D25A13"/>
    <w:rsid w:val="00D60972"/>
    <w:rsid w:val="00D8521A"/>
    <w:rsid w:val="00DA005D"/>
    <w:rsid w:val="00DD6B02"/>
    <w:rsid w:val="00E65605"/>
    <w:rsid w:val="00E93627"/>
    <w:rsid w:val="00EA0867"/>
    <w:rsid w:val="00EC5F49"/>
    <w:rsid w:val="00ED78A1"/>
    <w:rsid w:val="00EE2B26"/>
    <w:rsid w:val="00EE2B40"/>
    <w:rsid w:val="00F310DA"/>
    <w:rsid w:val="00F97A2B"/>
    <w:rsid w:val="00FE2B8A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2A80144A-F180-4239-B88A-345B6F1E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paragraph">
    <w:name w:val="paragraph"/>
    <w:basedOn w:val="Normal"/>
    <w:rsid w:val="005D54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5458"/>
  </w:style>
  <w:style w:type="character" w:customStyle="1" w:styleId="eop">
    <w:name w:val="eop"/>
    <w:basedOn w:val="DefaultParagraphFont"/>
    <w:rsid w:val="005D5458"/>
  </w:style>
  <w:style w:type="paragraph" w:styleId="BodyText2">
    <w:name w:val="Body Text 2"/>
    <w:basedOn w:val="Normal"/>
    <w:link w:val="BodyText2Char"/>
    <w:rsid w:val="00D0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 w:cs="Arial"/>
      <w:color w:val="FF0000"/>
      <w:lang w:eastAsia="en-US"/>
    </w:rPr>
  </w:style>
  <w:style w:type="character" w:customStyle="1" w:styleId="BodyText2Char">
    <w:name w:val="Body Text 2 Char"/>
    <w:basedOn w:val="DefaultParagraphFont"/>
    <w:link w:val="BodyText2"/>
    <w:rsid w:val="00D02624"/>
    <w:rPr>
      <w:rFonts w:ascii="Arial" w:hAnsi="Arial" w:cs="Arial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Stephanie Webber</cp:lastModifiedBy>
  <cp:revision>7</cp:revision>
  <dcterms:created xsi:type="dcterms:W3CDTF">2025-08-20T18:06:00Z</dcterms:created>
  <dcterms:modified xsi:type="dcterms:W3CDTF">2025-08-20T18:11:00Z</dcterms:modified>
</cp:coreProperties>
</file>