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0EDBD0AB" w:rsidR="00952B92" w:rsidRPr="008B3B59" w:rsidRDefault="0050093D">
      <w:pPr>
        <w:jc w:val="center"/>
        <w:rPr>
          <w:rFonts w:ascii="Arial" w:eastAsia="Arial" w:hAnsi="Arial" w:cs="Arial"/>
          <w:sz w:val="22"/>
          <w:szCs w:val="22"/>
        </w:rPr>
      </w:pPr>
      <w:r w:rsidRPr="00F07971">
        <w:rPr>
          <w:noProof/>
        </w:rPr>
        <w:drawing>
          <wp:inline distT="0" distB="0" distL="0" distR="0" wp14:anchorId="3B8F7614" wp14:editId="73EB9B53">
            <wp:extent cx="1562100" cy="1171575"/>
            <wp:effectExtent l="0" t="0" r="0" b="9525"/>
            <wp:docPr id="2" name="Picture 2" descr="Deli &amp; Sausage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 &amp; Sausage 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4251"/>
        <w:gridCol w:w="1701"/>
        <w:gridCol w:w="1701"/>
      </w:tblGrid>
      <w:tr w:rsidR="0076476B" w:rsidRPr="0076476B" w14:paraId="17420582" w14:textId="77777777" w:rsidTr="0076476B">
        <w:trPr>
          <w:trHeight w:val="220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4BF1D33F" w14:textId="772A9353" w:rsidR="00952B92" w:rsidRPr="0076476B" w:rsidRDefault="003221B0" w:rsidP="0076476B">
            <w:pPr>
              <w:shd w:val="clear" w:color="auto" w:fill="E36C0A" w:themeFill="accent6" w:themeFillShade="BF"/>
              <w:jc w:val="center"/>
              <w:rPr>
                <w:rFonts w:asciiTheme="majorHAnsi" w:eastAsia="Arial" w:hAnsiTheme="majorHAnsi" w:cs="Arial"/>
                <w:b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b/>
                <w:color w:val="000000" w:themeColor="text1"/>
                <w:sz w:val="22"/>
                <w:szCs w:val="22"/>
              </w:rPr>
              <w:t>ROLE PROFILE</w:t>
            </w:r>
          </w:p>
        </w:tc>
      </w:tr>
      <w:tr w:rsidR="0076476B" w:rsidRPr="0076476B" w14:paraId="02CE5581" w14:textId="77777777" w:rsidTr="0076476B">
        <w:trPr>
          <w:trHeight w:val="280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5ADA1C19" w14:textId="77777777" w:rsidR="00952B92" w:rsidRPr="0076476B" w:rsidRDefault="003221B0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Job title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C74DD0B" w14:textId="6C0BCD3C" w:rsidR="00952B92" w:rsidRPr="0076476B" w:rsidRDefault="00703319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Technical Administrator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0F9C4" w14:textId="77777777" w:rsidR="00952B92" w:rsidRPr="0076476B" w:rsidRDefault="003221B0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A96F6" w14:textId="2A94EAF5" w:rsidR="00952B92" w:rsidRPr="0076476B" w:rsidRDefault="00F17865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10/01/2025</w:t>
            </w:r>
          </w:p>
        </w:tc>
      </w:tr>
      <w:tr w:rsidR="0076476B" w:rsidRPr="0076476B" w14:paraId="3E7C9FD0" w14:textId="77777777" w:rsidTr="0076476B">
        <w:trPr>
          <w:trHeight w:val="260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40B2EC56" w14:textId="77777777" w:rsidR="00952B92" w:rsidRPr="0076476B" w:rsidRDefault="003221B0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Business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2B217B1C" w14:textId="73D4607B" w:rsidR="00952B92" w:rsidRPr="0076476B" w:rsidRDefault="00260696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Walkers Deli</w:t>
            </w:r>
            <w:r w:rsidR="006D5CC2"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 &amp; Sausage Co.</w:t>
            </w:r>
          </w:p>
        </w:tc>
      </w:tr>
      <w:tr w:rsidR="0076476B" w:rsidRPr="0076476B" w14:paraId="1AFA810F" w14:textId="77777777" w:rsidTr="0076476B">
        <w:trPr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4E0BC2B5" w14:textId="77777777" w:rsidR="00952B92" w:rsidRPr="0076476B" w:rsidRDefault="003221B0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Department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343972EB" w14:textId="3762D82E" w:rsidR="00952B92" w:rsidRPr="0076476B" w:rsidRDefault="00177F53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Technical</w:t>
            </w:r>
          </w:p>
        </w:tc>
      </w:tr>
      <w:tr w:rsidR="0076476B" w:rsidRPr="0076476B" w14:paraId="363D8CEF" w14:textId="77777777" w:rsidTr="0076476B">
        <w:trPr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2D6AF9F3" w14:textId="0687C0EA" w:rsidR="00332B6A" w:rsidRPr="0076476B" w:rsidRDefault="00332B6A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Working Hours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7C03BB83" w14:textId="0C177D75" w:rsidR="00332B6A" w:rsidRPr="0076476B" w:rsidRDefault="00177F53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Monday to Friday 08:30 to 17:00</w:t>
            </w:r>
          </w:p>
        </w:tc>
      </w:tr>
      <w:tr w:rsidR="0076476B" w:rsidRPr="0076476B" w14:paraId="24164379" w14:textId="77777777" w:rsidTr="0076476B">
        <w:trPr>
          <w:trHeight w:val="280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1735CE34" w14:textId="77777777" w:rsidR="00952B92" w:rsidRPr="0076476B" w:rsidRDefault="003221B0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Location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06346BBF" w14:textId="0B502030" w:rsidR="00952B92" w:rsidRPr="0076476B" w:rsidRDefault="002A1238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Walkers Deli &amp; Sausage Co. 78-88 </w:t>
            </w:r>
            <w:r w:rsidR="00260696"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Cobden Street, Leicester</w:t>
            </w:r>
            <w:r w:rsidR="005A3566"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, LE1 2LB</w:t>
            </w:r>
          </w:p>
        </w:tc>
      </w:tr>
      <w:tr w:rsidR="0076476B" w:rsidRPr="0076476B" w14:paraId="4D9810B3" w14:textId="77777777" w:rsidTr="0076476B">
        <w:trPr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05273E92" w14:textId="660C2E75" w:rsidR="00952B92" w:rsidRPr="0076476B" w:rsidRDefault="0083787B" w:rsidP="0076476B">
            <w:pPr>
              <w:shd w:val="clear" w:color="auto" w:fill="E36C0A" w:themeFill="accent6" w:themeFillShade="BF"/>
              <w:jc w:val="center"/>
              <w:rPr>
                <w:rFonts w:asciiTheme="majorHAnsi" w:eastAsia="Arial" w:hAnsiTheme="majorHAnsi" w:cs="Arial"/>
                <w:b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b/>
                <w:color w:val="000000" w:themeColor="text1"/>
                <w:sz w:val="22"/>
                <w:szCs w:val="22"/>
              </w:rPr>
              <w:t>ROLE SUMMARY</w:t>
            </w:r>
          </w:p>
        </w:tc>
      </w:tr>
      <w:tr w:rsidR="0076476B" w:rsidRPr="0076476B" w14:paraId="3A5EDB33" w14:textId="77777777" w:rsidTr="0076476B">
        <w:trPr>
          <w:trHeight w:val="574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099BD59F" w14:textId="517BE2D0" w:rsidR="00A3314A" w:rsidRPr="0076476B" w:rsidRDefault="003A4ECF" w:rsidP="003A4ECF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b w:val="0"/>
                <w:i w:val="0"/>
                <w:color w:val="000000" w:themeColor="text1"/>
                <w:sz w:val="22"/>
                <w:szCs w:val="22"/>
              </w:rPr>
              <w:t xml:space="preserve">In this role you will help deliver excellent customer service, provide knowledge and a good understanding of products safety, standards, HACCP and their related technical fundamentals. You will also provide the highest level of </w:t>
            </w:r>
            <w:r w:rsidR="0076476B" w:rsidRPr="0076476B">
              <w:rPr>
                <w:rFonts w:asciiTheme="majorHAnsi" w:eastAsia="Arial" w:hAnsiTheme="majorHAnsi" w:cs="Arial"/>
                <w:b w:val="0"/>
                <w:i w:val="0"/>
                <w:color w:val="000000" w:themeColor="text1"/>
                <w:sz w:val="22"/>
                <w:szCs w:val="22"/>
              </w:rPr>
              <w:t>food safety</w:t>
            </w:r>
            <w:r w:rsidRPr="0076476B">
              <w:rPr>
                <w:rFonts w:asciiTheme="majorHAnsi" w:eastAsia="Arial" w:hAnsiTheme="majorHAnsi" w:cs="Arial"/>
                <w:b w:val="0"/>
                <w:i w:val="0"/>
                <w:color w:val="000000" w:themeColor="text1"/>
                <w:sz w:val="22"/>
                <w:szCs w:val="22"/>
              </w:rPr>
              <w:t xml:space="preserve"> care and service to</w:t>
            </w:r>
            <w:r w:rsidR="0076476B" w:rsidRPr="0076476B">
              <w:rPr>
                <w:rFonts w:asciiTheme="majorHAnsi" w:eastAsia="Arial" w:hAnsiTheme="majorHAnsi" w:cs="Arial"/>
                <w:b w:val="0"/>
                <w:i w:val="0"/>
                <w:color w:val="000000" w:themeColor="text1"/>
                <w:sz w:val="22"/>
                <w:szCs w:val="22"/>
              </w:rPr>
              <w:t xml:space="preserve"> maintain all technical required reports</w:t>
            </w:r>
            <w:r w:rsidRPr="0076476B">
              <w:rPr>
                <w:rFonts w:asciiTheme="majorHAnsi" w:eastAsia="Arial" w:hAnsiTheme="majorHAnsi" w:cs="Arial"/>
                <w:b w:val="0"/>
                <w:i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76476B" w:rsidRPr="0076476B" w14:paraId="3E74F4CB" w14:textId="77777777" w:rsidTr="0076476B">
        <w:trPr>
          <w:trHeight w:val="300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640C1455" w14:textId="2398B388" w:rsidR="00177F53" w:rsidRPr="0076476B" w:rsidRDefault="00177F53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</w:p>
        </w:tc>
      </w:tr>
      <w:tr w:rsidR="0076476B" w:rsidRPr="0076476B" w14:paraId="3ABA47C2" w14:textId="77777777" w:rsidTr="0076476B">
        <w:trPr>
          <w:trHeight w:val="80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27DFE983" w14:textId="77777777" w:rsidR="00177F53" w:rsidRPr="0076476B" w:rsidRDefault="00177F53" w:rsidP="003A4ECF">
            <w:pPr>
              <w:spacing w:before="140"/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Reports to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540E114B" w14:textId="29EFE9DD" w:rsidR="00177F53" w:rsidRPr="00674585" w:rsidRDefault="00F17865" w:rsidP="003A4ECF">
            <w:pPr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Techncial Analyst </w:t>
            </w:r>
          </w:p>
        </w:tc>
      </w:tr>
      <w:tr w:rsidR="0076476B" w:rsidRPr="0076476B" w14:paraId="48BF19F7" w14:textId="77777777" w:rsidTr="0076476B">
        <w:trPr>
          <w:trHeight w:val="120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175FAB54" w14:textId="77777777" w:rsidR="00177F53" w:rsidRPr="0076476B" w:rsidRDefault="00177F53" w:rsidP="003A4ECF">
            <w:pPr>
              <w:spacing w:before="140"/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Direct &amp; indirect reports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4C3C84CA" w14:textId="45504C6B" w:rsidR="00177F53" w:rsidRPr="0076476B" w:rsidRDefault="00FC0D65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>N/A</w:t>
            </w:r>
          </w:p>
        </w:tc>
      </w:tr>
      <w:tr w:rsidR="0076476B" w:rsidRPr="0076476B" w14:paraId="3402C6B7" w14:textId="77777777" w:rsidTr="0076476B">
        <w:trPr>
          <w:trHeight w:val="60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6653F7BD" w14:textId="77777777" w:rsidR="00177F53" w:rsidRPr="0076476B" w:rsidRDefault="00177F53" w:rsidP="003A4ECF">
            <w:pPr>
              <w:spacing w:before="140"/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Key internal stakeholders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0610225C" w14:textId="47C3668A" w:rsidR="00177F53" w:rsidRPr="0076476B" w:rsidRDefault="00177F53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Technical, Process and Operations Management</w:t>
            </w:r>
          </w:p>
        </w:tc>
      </w:tr>
      <w:tr w:rsidR="0076476B" w:rsidRPr="0076476B" w14:paraId="79D95C24" w14:textId="77777777" w:rsidTr="0076476B">
        <w:trPr>
          <w:trHeight w:val="200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698E2329" w14:textId="77777777" w:rsidR="00177F53" w:rsidRPr="0076476B" w:rsidRDefault="00177F53" w:rsidP="003A4ECF">
            <w:pPr>
              <w:spacing w:before="140"/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Key external stakeholders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032692C6" w14:textId="7C5F1EDC" w:rsidR="00177F53" w:rsidRPr="0076476B" w:rsidRDefault="00177F53" w:rsidP="003A4ECF">
            <w:pPr>
              <w:tabs>
                <w:tab w:val="center" w:pos="3706"/>
              </w:tabs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Major retailers and B2B customers</w:t>
            </w:r>
          </w:p>
        </w:tc>
      </w:tr>
      <w:tr w:rsidR="0076476B" w:rsidRPr="0076476B" w14:paraId="7B940AA4" w14:textId="77777777" w:rsidTr="0076476B">
        <w:trPr>
          <w:trHeight w:val="200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139FF6E4" w14:textId="6D9DD5A0" w:rsidR="003A4ECF" w:rsidRPr="0076476B" w:rsidRDefault="003A4ECF" w:rsidP="003A4ECF">
            <w:pPr>
              <w:spacing w:before="140"/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Financial Responsibility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7ACF3E40" w14:textId="33981D03" w:rsidR="003A4ECF" w:rsidRPr="0076476B" w:rsidRDefault="003A4ECF" w:rsidP="003A4ECF">
            <w:pPr>
              <w:tabs>
                <w:tab w:val="center" w:pos="3706"/>
              </w:tabs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76476B" w:rsidRPr="0076476B" w14:paraId="2F7C4A97" w14:textId="77777777" w:rsidTr="0076476B">
        <w:trPr>
          <w:trHeight w:val="200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7DD26152" w14:textId="5B195DA6" w:rsidR="003A4ECF" w:rsidRPr="0076476B" w:rsidRDefault="003A4ECF" w:rsidP="003A4ECF">
            <w:pPr>
              <w:spacing w:before="140"/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People Responsibility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0AEC8A24" w14:textId="774D352A" w:rsidR="003A4ECF" w:rsidRPr="0076476B" w:rsidRDefault="009B7142" w:rsidP="003A4ECF">
            <w:pPr>
              <w:tabs>
                <w:tab w:val="center" w:pos="3706"/>
              </w:tabs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76476B" w:rsidRPr="0076476B" w14:paraId="7242F7E2" w14:textId="77777777" w:rsidTr="0076476B">
        <w:trPr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22B0C359" w14:textId="0B21DA29" w:rsidR="00177F53" w:rsidRPr="0076476B" w:rsidRDefault="00177F53" w:rsidP="0076476B">
            <w:pPr>
              <w:pStyle w:val="Heading2"/>
              <w:shd w:val="clear" w:color="auto" w:fill="E36C0A" w:themeFill="accent6" w:themeFillShade="BF"/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KEY </w:t>
            </w:r>
            <w:r w:rsidR="00F860F9"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ACCOUNTABILITIES AND</w:t>
            </w: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 RESPONSIBILITIES</w:t>
            </w:r>
          </w:p>
        </w:tc>
      </w:tr>
      <w:tr w:rsidR="0076476B" w:rsidRPr="0076476B" w14:paraId="03DEDE3B" w14:textId="77777777" w:rsidTr="0076476B">
        <w:trPr>
          <w:trHeight w:val="416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4BD92806" w14:textId="3E62C93B" w:rsidR="0033732D" w:rsidRPr="0076476B" w:rsidRDefault="0033732D" w:rsidP="003A4ECF">
            <w:pPr>
              <w:pStyle w:val="BodyText"/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</w:pPr>
            <w:r w:rsidRPr="0076476B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The</w:t>
            </w:r>
            <w:r w:rsidRPr="0076476B">
              <w:rPr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 </w:t>
            </w:r>
            <w:r w:rsidRPr="0076476B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Technical Administrator will have </w:t>
            </w:r>
            <w:r w:rsidR="00565A30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will work as part of a team who have </w:t>
            </w:r>
            <w:r w:rsidRPr="0076476B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responsibility for:</w:t>
            </w:r>
          </w:p>
          <w:p w14:paraId="64E148C4" w14:textId="1116DC1D" w:rsidR="0033732D" w:rsidRDefault="00565A30" w:rsidP="003A4ECF">
            <w:pPr>
              <w:pStyle w:val="BodyText"/>
              <w:numPr>
                <w:ilvl w:val="0"/>
                <w:numId w:val="15"/>
              </w:numP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C</w:t>
            </w:r>
            <w:r w:rsidR="0033732D" w:rsidRPr="0076476B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ustomer </w:t>
            </w:r>
            <w: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c</w:t>
            </w:r>
            <w:r w:rsidR="0033732D" w:rsidRPr="0076476B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omplaints</w:t>
            </w:r>
            <w: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: logging</w:t>
            </w:r>
            <w:r w:rsidR="0033732D" w:rsidRPr="0076476B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,</w:t>
            </w:r>
            <w:r w:rsidR="00FC0D65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 trending, issuing investigations</w:t>
            </w:r>
            <w: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, </w:t>
            </w:r>
            <w:r w:rsidR="00FC0D65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sending complaint responses</w:t>
            </w:r>
            <w: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 and circulating information internally</w:t>
            </w:r>
            <w:r w:rsidR="00FC0D65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. </w:t>
            </w:r>
          </w:p>
          <w:p w14:paraId="02EEEF74" w14:textId="31C46268" w:rsidR="00294A42" w:rsidRPr="0076476B" w:rsidRDefault="00294A42" w:rsidP="003A4ECF">
            <w:pPr>
              <w:pStyle w:val="BodyText"/>
              <w:numPr>
                <w:ilvl w:val="0"/>
                <w:numId w:val="15"/>
              </w:numP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Completing export documentation</w:t>
            </w:r>
          </w:p>
          <w:p w14:paraId="574AAF4A" w14:textId="4D53FBBB" w:rsidR="00294A42" w:rsidRDefault="00294A42" w:rsidP="003A4ECF">
            <w:pPr>
              <w:pStyle w:val="BodyText"/>
              <w:numPr>
                <w:ilvl w:val="0"/>
                <w:numId w:val="15"/>
              </w:numP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Logging </w:t>
            </w:r>
            <w:r w:rsidR="00E31831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and trending any out of spec results</w:t>
            </w:r>
            <w:r w:rsidR="00D16C4F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 including C</w:t>
            </w:r>
            <w:r w:rsidR="00E31831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hemistry</w:t>
            </w:r>
            <w:r w:rsidR="00D16C4F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 &amp; M</w:t>
            </w:r>
            <w:r w:rsidR="00E31831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icro</w:t>
            </w:r>
          </w:p>
          <w:p w14:paraId="3F33F913" w14:textId="020F5D97" w:rsidR="0033732D" w:rsidRPr="002561D1" w:rsidRDefault="0033732D" w:rsidP="002561D1">
            <w:pPr>
              <w:pStyle w:val="BodyText"/>
              <w:numPr>
                <w:ilvl w:val="0"/>
                <w:numId w:val="15"/>
              </w:numP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</w:pPr>
            <w:r w:rsidRPr="0076476B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Completing KPI</w:t>
            </w:r>
            <w:r w:rsidR="00FC0D65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 data </w:t>
            </w:r>
            <w:r w:rsidR="002561D1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and</w:t>
            </w:r>
            <w:r w:rsidR="00565A30" w:rsidRPr="002561D1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 customer reports</w:t>
            </w:r>
          </w:p>
          <w:p w14:paraId="47E72D70" w14:textId="112900E9" w:rsidR="0033732D" w:rsidRPr="0076476B" w:rsidRDefault="00FC0D65" w:rsidP="003A4ECF">
            <w:pPr>
              <w:pStyle w:val="BodyText"/>
              <w:numPr>
                <w:ilvl w:val="0"/>
                <w:numId w:val="15"/>
              </w:numP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Weekly &amp; </w:t>
            </w:r>
            <w:r w:rsidR="00565A30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m</w:t>
            </w:r>
            <w: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onthly </w:t>
            </w:r>
            <w:r w:rsidR="00565A30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t</w:t>
            </w:r>
            <w:r w:rsidR="0033732D" w:rsidRPr="0076476B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echnical </w:t>
            </w:r>
            <w:r w:rsidR="00565A30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s</w:t>
            </w:r>
            <w:r w:rsidR="004071DB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ummary reports.</w:t>
            </w:r>
          </w:p>
          <w:p w14:paraId="7B1AA132" w14:textId="549A3E71" w:rsidR="00A1536D" w:rsidRPr="00FC0D65" w:rsidRDefault="0033732D" w:rsidP="00FC0D65">
            <w:pPr>
              <w:pStyle w:val="BodyText"/>
              <w:numPr>
                <w:ilvl w:val="0"/>
                <w:numId w:val="15"/>
              </w:numPr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</w:pPr>
            <w:r w:rsidRPr="00FC0D65"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>Keeping up to date</w:t>
            </w:r>
            <w:r w:rsidRPr="009B7142"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 xml:space="preserve"> and distributing </w:t>
            </w:r>
            <w:r w:rsidR="00FC0D65"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>new or updated documents as required.</w:t>
            </w:r>
          </w:p>
          <w:p w14:paraId="036CFA10" w14:textId="18AF9969" w:rsidR="000C58EB" w:rsidRPr="009B7142" w:rsidRDefault="000C58EB" w:rsidP="000C58EB">
            <w:pPr>
              <w:pStyle w:val="BodyText"/>
              <w:numPr>
                <w:ilvl w:val="0"/>
                <w:numId w:val="17"/>
              </w:numPr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</w:pPr>
            <w:r w:rsidRPr="009B7142"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 xml:space="preserve">Administration of QMS </w:t>
            </w:r>
            <w:r w:rsidR="00FC0D65" w:rsidRPr="009B7142"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>includ</w:t>
            </w:r>
            <w:r w:rsidR="00FC0D65"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>ing</w:t>
            </w:r>
            <w:r w:rsidRPr="009B7142"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 xml:space="preserve"> procedure</w:t>
            </w:r>
            <w:r w:rsidR="00FC0D65"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>s</w:t>
            </w:r>
            <w:r w:rsidRPr="009B7142"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>, risk assessment</w:t>
            </w:r>
            <w:r w:rsidR="00FC0D65"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>s</w:t>
            </w:r>
            <w:r w:rsidRPr="009B7142"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>, schedules</w:t>
            </w:r>
            <w:r w:rsidR="00686723"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 xml:space="preserve">, forms </w:t>
            </w:r>
            <w:r w:rsidRPr="009B7142"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 xml:space="preserve">etc. to make sure they are reviewed by </w:t>
            </w:r>
            <w:r w:rsidR="00294A42"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>Techncial Analyst / Compliance Manager</w:t>
            </w:r>
            <w:r w:rsidRPr="009B7142"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 xml:space="preserve"> on time and the correct version is distributed to the relevant person and saved on company drive. </w:t>
            </w:r>
          </w:p>
          <w:p w14:paraId="4B59CA5B" w14:textId="3E9062B7" w:rsidR="0033732D" w:rsidRPr="009B7142" w:rsidRDefault="00FC0D65" w:rsidP="003A4ECF">
            <w:pPr>
              <w:pStyle w:val="BodyText"/>
              <w:numPr>
                <w:ilvl w:val="0"/>
                <w:numId w:val="17"/>
              </w:numPr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 xml:space="preserve">Internal Audits: Distributing </w:t>
            </w:r>
            <w:r w:rsidR="00B8693F" w:rsidRPr="009B7142"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 xml:space="preserve">internal audits </w:t>
            </w:r>
            <w:r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>o</w:t>
            </w:r>
            <w:r w:rsidR="00B8693F" w:rsidRPr="009B7142"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>n Foods Connect</w:t>
            </w:r>
            <w:r>
              <w:rPr>
                <w:rFonts w:ascii="Calibri" w:hAnsi="Calibri" w:cs="Calibri"/>
                <w:b w:val="0"/>
                <w:bCs/>
                <w:i w:val="0"/>
                <w:iCs/>
                <w:szCs w:val="24"/>
              </w:rPr>
              <w:t>ed. Maintaining the site Internal Audit Schedule and ensuring close out of non-conformances raised in internal audits.</w:t>
            </w:r>
          </w:p>
          <w:p w14:paraId="41C8D546" w14:textId="45196B76" w:rsidR="0076476B" w:rsidRPr="001914D8" w:rsidRDefault="0033732D" w:rsidP="001914D8">
            <w:pPr>
              <w:pStyle w:val="BodyText"/>
              <w:numPr>
                <w:ilvl w:val="0"/>
                <w:numId w:val="17"/>
              </w:numP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</w:pPr>
            <w:r w:rsidRPr="0076476B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Updating templates for </w:t>
            </w:r>
            <w:r w:rsidR="00565A30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i</w:t>
            </w:r>
            <w:r w:rsidRPr="0076476B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nternal </w:t>
            </w:r>
            <w:r w:rsidR="00565A30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a</w:t>
            </w:r>
            <w:r w:rsidRPr="0076476B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udits in </w:t>
            </w:r>
            <w:r w:rsidR="00FC0D65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F</w:t>
            </w:r>
            <w:r w:rsidRPr="0076476B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ood</w:t>
            </w:r>
            <w:r w:rsidR="00FC0D65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s</w:t>
            </w:r>
            <w:r w:rsidRPr="0076476B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 Connect</w:t>
            </w:r>
            <w:r w:rsidR="00FC0D65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ed</w:t>
            </w:r>
            <w:r w:rsidRPr="0076476B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 when customer CoP or BRC</w:t>
            </w:r>
            <w:r w:rsidR="00FC0D65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GS </w:t>
            </w:r>
            <w:r w:rsidR="001914D8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has </w:t>
            </w:r>
            <w:r w:rsidR="00FC0D65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update</w:t>
            </w:r>
            <w:r w:rsidR="001914D8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s</w:t>
            </w:r>
            <w:r w:rsidR="00FC0D65" w:rsidRPr="001914D8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.</w:t>
            </w:r>
          </w:p>
          <w:p w14:paraId="04DF3F96" w14:textId="51595D29" w:rsidR="002537F4" w:rsidRDefault="001914D8" w:rsidP="00481EC3">
            <w:pPr>
              <w:pStyle w:val="BodyText"/>
              <w:numPr>
                <w:ilvl w:val="0"/>
                <w:numId w:val="17"/>
              </w:numP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Completing nutritional, raw material and packaging spreadsheets</w:t>
            </w:r>
            <w:r w:rsidR="002537F4"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>.</w:t>
            </w:r>
            <w:r>
              <w:rPr>
                <w:rFonts w:ascii="Calibri" w:hAnsi="Calibri" w:cs="Calibri"/>
                <w:b w:val="0"/>
                <w:bCs/>
                <w:i w:val="0"/>
                <w:iCs/>
                <w:color w:val="000000" w:themeColor="text1"/>
                <w:szCs w:val="24"/>
              </w:rPr>
              <w:t xml:space="preserve"> </w:t>
            </w:r>
          </w:p>
          <w:p w14:paraId="43F75E06" w14:textId="1D809DD8" w:rsidR="00177F53" w:rsidRPr="001914D8" w:rsidRDefault="00FC0D65" w:rsidP="001914D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</w:rPr>
              <w:t xml:space="preserve">Other requests for </w:t>
            </w:r>
            <w:r w:rsidRPr="002561D1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information from </w:t>
            </w:r>
            <w:r w:rsidR="002561D1" w:rsidRPr="002561D1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Techncial Analyst / Compliance Manager </w:t>
            </w:r>
            <w:r w:rsidRPr="002561D1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 w:eastAsia="en-US"/>
              </w:rPr>
              <w:t>and</w:t>
            </w:r>
            <w:r w:rsidRPr="001914D8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</w:rPr>
              <w:t xml:space="preserve"> as required. </w:t>
            </w:r>
          </w:p>
        </w:tc>
      </w:tr>
      <w:tr w:rsidR="0076476B" w:rsidRPr="0076476B" w14:paraId="580B9097" w14:textId="77777777" w:rsidTr="0076476B">
        <w:trPr>
          <w:trHeight w:val="200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0F91663B" w14:textId="23159F91" w:rsidR="00177F53" w:rsidRPr="0076476B" w:rsidRDefault="00177F53" w:rsidP="0076476B">
            <w:pPr>
              <w:shd w:val="clear" w:color="auto" w:fill="E36C0A" w:themeFill="accent6" w:themeFillShade="BF"/>
              <w:jc w:val="center"/>
              <w:rPr>
                <w:rFonts w:asciiTheme="majorHAnsi" w:eastAsia="Arial" w:hAnsiTheme="majorHAnsi" w:cs="Arial"/>
                <w:b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b/>
                <w:color w:val="000000" w:themeColor="text1"/>
                <w:sz w:val="22"/>
                <w:szCs w:val="22"/>
              </w:rPr>
              <w:t>QUALIFICATIONS, EXPERIENCE, TECHNICAL SKILLS / KNOWLEDGE</w:t>
            </w:r>
          </w:p>
        </w:tc>
      </w:tr>
      <w:tr w:rsidR="0076476B" w:rsidRPr="0076476B" w14:paraId="2A9F80A7" w14:textId="77777777" w:rsidTr="0076476B">
        <w:trPr>
          <w:trHeight w:val="200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617DC072" w14:textId="39D4D570" w:rsidR="0033732D" w:rsidRPr="00B70645" w:rsidRDefault="0033732D" w:rsidP="003A4EC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 sound knowledge of quality systems, procedures and protocols</w:t>
            </w:r>
            <w:r w:rsidR="00674585"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.</w:t>
            </w:r>
          </w:p>
          <w:p w14:paraId="0CC8F5CD" w14:textId="672977E9" w:rsidR="0033732D" w:rsidRPr="00B70645" w:rsidRDefault="0033732D" w:rsidP="00B8693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Good people </w:t>
            </w:r>
            <w:r w:rsidR="00B8693F"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and </w:t>
            </w:r>
            <w:r w:rsidR="00B70645"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</w:t>
            </w:r>
            <w:r w:rsidR="00B8693F"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trong communication and interpersonal skills including both written and verbal communication</w:t>
            </w:r>
            <w:r w:rsidR="00674585"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.</w:t>
            </w:r>
          </w:p>
          <w:p w14:paraId="057ADFEA" w14:textId="5D069087" w:rsidR="0033732D" w:rsidRPr="00B70645" w:rsidRDefault="0033732D" w:rsidP="003A4EC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Able to understand and follow instructions</w:t>
            </w:r>
            <w:r w:rsidR="00D16C4F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148A6E4D" w14:textId="6EAE49D0" w:rsidR="0033732D" w:rsidRPr="00B70645" w:rsidRDefault="0033732D" w:rsidP="003A4EC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lastRenderedPageBreak/>
              <w:t>Good literacy and numeracy skills</w:t>
            </w:r>
            <w:r w:rsidR="000E4B2B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.</w:t>
            </w:r>
          </w:p>
          <w:p w14:paraId="1DB635A0" w14:textId="20EF2F30" w:rsidR="0033732D" w:rsidRPr="00B70645" w:rsidRDefault="0033732D" w:rsidP="003A4EC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Flexible approach to work</w:t>
            </w:r>
            <w:r w:rsidR="00674585"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.</w:t>
            </w:r>
          </w:p>
          <w:p w14:paraId="7233F0B2" w14:textId="615756EA" w:rsidR="0033732D" w:rsidRPr="00B70645" w:rsidRDefault="0033732D" w:rsidP="003A4EC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Good PC skills in</w:t>
            </w:r>
            <w:r w:rsidR="00B8693F"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Microsoft Office and business systems</w:t>
            </w:r>
            <w:r w:rsidR="000E4B2B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.</w:t>
            </w:r>
          </w:p>
          <w:p w14:paraId="001FB083" w14:textId="6514F312" w:rsidR="0033732D" w:rsidRPr="00B70645" w:rsidRDefault="0033732D" w:rsidP="003A4EC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Accurate work ethic – attention to detail</w:t>
            </w:r>
            <w:r w:rsidR="000E4B2B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.</w:t>
            </w:r>
          </w:p>
          <w:p w14:paraId="47E4CF5F" w14:textId="2F91F500" w:rsidR="0033732D" w:rsidRPr="00B70645" w:rsidRDefault="000E4B2B" w:rsidP="003A4EC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An</w:t>
            </w:r>
            <w:r w:rsidR="0033732D"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understanding of food manufacturing processes and development from concept approval through to launch</w:t>
            </w:r>
            <w:r w:rsidR="00674585"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.</w:t>
            </w:r>
          </w:p>
          <w:p w14:paraId="74DBAD97" w14:textId="4FFC7BD3" w:rsidR="00177F53" w:rsidRPr="00B70645" w:rsidRDefault="0033732D" w:rsidP="00CB005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Ability to manage multiple tasks </w:t>
            </w:r>
            <w:r w:rsidRPr="00B70645">
              <w:rPr>
                <w:rFonts w:asciiTheme="majorHAnsi" w:hAnsiTheme="majorHAnsi" w:cs="Arial"/>
                <w:sz w:val="24"/>
                <w:szCs w:val="24"/>
              </w:rPr>
              <w:t xml:space="preserve">to </w:t>
            </w:r>
            <w:r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 successful conclusion before the deadline set</w:t>
            </w:r>
            <w:r w:rsidR="00674585" w:rsidRPr="00B70645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76476B" w:rsidRPr="0076476B" w14:paraId="391E2846" w14:textId="77777777" w:rsidTr="0076476B">
        <w:trPr>
          <w:trHeight w:val="200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4448D4F2" w14:textId="77777777" w:rsidR="00177F53" w:rsidRPr="0076476B" w:rsidRDefault="00177F53" w:rsidP="0076476B">
            <w:pPr>
              <w:shd w:val="clear" w:color="auto" w:fill="E36C0A" w:themeFill="accent6" w:themeFillShade="BF"/>
              <w:jc w:val="center"/>
              <w:rPr>
                <w:rFonts w:asciiTheme="majorHAnsi" w:eastAsia="Arial" w:hAnsiTheme="majorHAnsi" w:cs="Arial"/>
                <w:b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b/>
                <w:color w:val="000000" w:themeColor="text1"/>
                <w:sz w:val="22"/>
                <w:szCs w:val="22"/>
              </w:rPr>
              <w:lastRenderedPageBreak/>
              <w:t>CORE COMPETENCIES, ATTRIBUTES &amp; BEHAVIOURS FOR SUCCESS</w:t>
            </w:r>
          </w:p>
        </w:tc>
      </w:tr>
      <w:tr w:rsidR="0076476B" w:rsidRPr="0076476B" w14:paraId="7B24EE02" w14:textId="77777777" w:rsidTr="0076476B">
        <w:trPr>
          <w:trHeight w:val="360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54FBCF88" w14:textId="77777777" w:rsidR="00177F53" w:rsidRPr="0076476B" w:rsidRDefault="00177F53" w:rsidP="003A4ECF">
            <w:pPr>
              <w:rPr>
                <w:rFonts w:asciiTheme="majorHAnsi" w:eastAsia="Arial" w:hAnsiTheme="majorHAnsi" w:cs="Arial"/>
                <w:b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b/>
                <w:color w:val="000000" w:themeColor="text1"/>
                <w:sz w:val="22"/>
                <w:szCs w:val="22"/>
              </w:rPr>
              <w:t>Competency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5B5586E5" w14:textId="77777777" w:rsidR="00177F53" w:rsidRPr="0076476B" w:rsidRDefault="00177F53" w:rsidP="003A4ECF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b/>
                <w:color w:val="000000" w:themeColor="text1"/>
                <w:sz w:val="22"/>
                <w:szCs w:val="22"/>
              </w:rPr>
              <w:t>Descriptors</w:t>
            </w:r>
          </w:p>
        </w:tc>
      </w:tr>
      <w:tr w:rsidR="0076476B" w:rsidRPr="0076476B" w14:paraId="64893145" w14:textId="77777777" w:rsidTr="0076476B">
        <w:trPr>
          <w:trHeight w:val="671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52CBB55E" w14:textId="22A9ACFC" w:rsidR="0033732D" w:rsidRPr="0076476B" w:rsidRDefault="0033732D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Value People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6BF9ADB0" w14:textId="18B5061E" w:rsidR="0033732D" w:rsidRPr="0076476B" w:rsidRDefault="0033732D" w:rsidP="003A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Demonstrates the belief that people are our most important asset and central to the success of the organisation.  Everybody should be </w:t>
            </w:r>
            <w:proofErr w:type="gramStart"/>
            <w:r w:rsidRPr="0076476B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treated with dignity and respect at all times</w:t>
            </w:r>
            <w:proofErr w:type="gramEnd"/>
            <w:r w:rsidRPr="0076476B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76476B" w:rsidRPr="0076476B" w14:paraId="4C6B67F2" w14:textId="77777777" w:rsidTr="0076476B">
        <w:trPr>
          <w:trHeight w:val="671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7E34197A" w14:textId="625DF5F1" w:rsidR="0033732D" w:rsidRPr="0076476B" w:rsidRDefault="0033732D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Customer Focus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2FC24F5D" w14:textId="73B87BF2" w:rsidR="0033732D" w:rsidRPr="0076476B" w:rsidRDefault="0033732D" w:rsidP="003A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000000" w:themeColor="text1"/>
                <w:sz w:val="22"/>
                <w:szCs w:val="22"/>
                <w:lang w:val="en"/>
              </w:rPr>
            </w:pPr>
            <w:r w:rsidRPr="0076476B">
              <w:rPr>
                <w:rFonts w:asciiTheme="majorHAnsi" w:hAnsiTheme="majorHAnsi" w:cs="Arial"/>
                <w:iCs/>
                <w:color w:val="000000" w:themeColor="text1"/>
                <w:sz w:val="22"/>
                <w:szCs w:val="22"/>
                <w:lang w:val="en"/>
              </w:rPr>
              <w:t>Demonstrates the understanding that the satisfaction of our internal and external customers is the foundation of our success.</w:t>
            </w:r>
          </w:p>
        </w:tc>
      </w:tr>
      <w:tr w:rsidR="0076476B" w:rsidRPr="0076476B" w14:paraId="01D13B7C" w14:textId="77777777" w:rsidTr="0076476B">
        <w:trPr>
          <w:trHeight w:val="671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4F7F7B7D" w14:textId="49B119CF" w:rsidR="0033732D" w:rsidRPr="0076476B" w:rsidRDefault="0033732D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Collaborative Team Working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773D32C2" w14:textId="2AD24CCD" w:rsidR="0033732D" w:rsidRPr="0076476B" w:rsidRDefault="0033732D" w:rsidP="003A4E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hAnsiTheme="majorHAnsi" w:cs="Arial"/>
                <w:iCs/>
                <w:color w:val="000000" w:themeColor="text1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76476B" w:rsidRPr="0076476B" w14:paraId="3B96D8A6" w14:textId="77777777" w:rsidTr="0076476B">
        <w:trPr>
          <w:trHeight w:val="671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52E3B307" w14:textId="3589C369" w:rsidR="0033732D" w:rsidRPr="0076476B" w:rsidRDefault="0033732D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Flexibility &amp; Adaptability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0457E91E" w14:textId="60D90CE4" w:rsidR="0033732D" w:rsidRPr="0076476B" w:rsidRDefault="0033732D" w:rsidP="003A4EC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  <w:t xml:space="preserve">The ability to change and adapt own behaviour or work procedures when there is a change in work environment, for example </w:t>
            </w:r>
            <w:proofErr w:type="gramStart"/>
            <w:r w:rsidRPr="0076476B"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  <w:t>as a result of</w:t>
            </w:r>
            <w:proofErr w:type="gramEnd"/>
            <w:r w:rsidRPr="0076476B"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  <w:t xml:space="preserve"> changing customer needs.</w:t>
            </w:r>
          </w:p>
        </w:tc>
      </w:tr>
      <w:tr w:rsidR="0076476B" w:rsidRPr="0076476B" w14:paraId="03D0115A" w14:textId="77777777" w:rsidTr="0076476B">
        <w:trPr>
          <w:trHeight w:val="671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5F928F63" w14:textId="3E71E2A0" w:rsidR="0033732D" w:rsidRPr="0076476B" w:rsidRDefault="0033732D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Initiative &amp; Taking Ownership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1493C3ED" w14:textId="0CB93208" w:rsidR="0033732D" w:rsidRPr="0076476B" w:rsidRDefault="0033732D" w:rsidP="003A4EC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  <w:t>Steps up to take on personal responsibility and accountability for tasks and actions in line with PQP</w:t>
            </w:r>
            <w:r w:rsidR="009B7142"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76476B" w:rsidRPr="0076476B" w14:paraId="2194FEED" w14:textId="77777777" w:rsidTr="0076476B">
        <w:trPr>
          <w:trHeight w:val="671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3B5E3052" w14:textId="6C048B35" w:rsidR="0033732D" w:rsidRPr="0076476B" w:rsidRDefault="0033732D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Empowering Others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27707DC0" w14:textId="1395E8BC" w:rsidR="0033732D" w:rsidRPr="0076476B" w:rsidRDefault="0033732D" w:rsidP="003A4EC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76476B" w:rsidRPr="0076476B" w14:paraId="277A1C01" w14:textId="77777777" w:rsidTr="0076476B">
        <w:trPr>
          <w:trHeight w:val="671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747FD1CA" w14:textId="12911A73" w:rsidR="0033732D" w:rsidRPr="0076476B" w:rsidRDefault="0033732D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Analysis &amp; Planning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66A01CB4" w14:textId="30187D18" w:rsidR="0033732D" w:rsidRPr="0076476B" w:rsidRDefault="0033732D" w:rsidP="003A4EC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76476B" w:rsidRPr="0076476B" w14:paraId="62E70043" w14:textId="77777777" w:rsidTr="0076476B">
        <w:trPr>
          <w:trHeight w:val="671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6EC1788F" w14:textId="5301FE7A" w:rsidR="0033732D" w:rsidRPr="0076476B" w:rsidRDefault="0033732D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Drive for Excellence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0F3AEEC7" w14:textId="3683C5AE" w:rsidR="0033732D" w:rsidRPr="0076476B" w:rsidRDefault="0033732D" w:rsidP="003A4EC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76476B" w:rsidRPr="0076476B" w14:paraId="2862207D" w14:textId="77777777" w:rsidTr="0076476B">
        <w:trPr>
          <w:trHeight w:val="322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5471AF62" w14:textId="7A530EAA" w:rsidR="003A4ECF" w:rsidRPr="0076476B" w:rsidRDefault="003A4ECF" w:rsidP="0076476B">
            <w:pPr>
              <w:widowControl w:val="0"/>
              <w:shd w:val="clear" w:color="auto" w:fill="E36C0A" w:themeFill="accent6" w:themeFillShade="BF"/>
              <w:spacing w:line="276" w:lineRule="auto"/>
              <w:jc w:val="center"/>
              <w:rPr>
                <w:rFonts w:asciiTheme="majorHAnsi" w:eastAsia="Arial" w:hAnsiTheme="majorHAnsi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b/>
                <w:bCs/>
                <w:iCs/>
                <w:color w:val="000000" w:themeColor="text1"/>
                <w:sz w:val="22"/>
                <w:szCs w:val="22"/>
              </w:rPr>
              <w:t>REVIEW AND APPROVAL</w:t>
            </w:r>
          </w:p>
        </w:tc>
      </w:tr>
      <w:tr w:rsidR="0076476B" w:rsidRPr="0076476B" w14:paraId="0182AAF2" w14:textId="77777777" w:rsidTr="0076476B">
        <w:trPr>
          <w:trHeight w:val="671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4ABD4B7B" w14:textId="47F5CF09" w:rsidR="003A4ECF" w:rsidRPr="0076476B" w:rsidRDefault="003A4ECF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Written by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5B059DC6" w14:textId="1523068B" w:rsidR="003A4ECF" w:rsidRPr="0076476B" w:rsidRDefault="00294A42" w:rsidP="003A4EC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  <w:t xml:space="preserve">Katie Bryden </w:t>
            </w:r>
          </w:p>
        </w:tc>
      </w:tr>
      <w:tr w:rsidR="0076476B" w:rsidRPr="0076476B" w14:paraId="2CF98898" w14:textId="77777777" w:rsidTr="0076476B">
        <w:trPr>
          <w:trHeight w:val="671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7C4712EE" w14:textId="550091C7" w:rsidR="003A4ECF" w:rsidRPr="0076476B" w:rsidRDefault="003A4ECF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4DAE2620" w14:textId="1DA4DB19" w:rsidR="003A4ECF" w:rsidRPr="0076476B" w:rsidRDefault="00294A42" w:rsidP="003A4EC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  <w:t>10/01/2025</w:t>
            </w:r>
          </w:p>
        </w:tc>
      </w:tr>
      <w:tr w:rsidR="0076476B" w:rsidRPr="0076476B" w14:paraId="1BCA481A" w14:textId="77777777" w:rsidTr="0076476B">
        <w:trPr>
          <w:trHeight w:val="671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0C240EFD" w14:textId="605F90D8" w:rsidR="003A4ECF" w:rsidRPr="0076476B" w:rsidRDefault="003A4ECF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Job title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5E5FC9B7" w14:textId="25EFB8FB" w:rsidR="003A4ECF" w:rsidRPr="0076476B" w:rsidRDefault="00294A42" w:rsidP="003A4EC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  <w:t>Compliance Manager</w:t>
            </w:r>
          </w:p>
        </w:tc>
      </w:tr>
      <w:tr w:rsidR="0076476B" w:rsidRPr="0076476B" w14:paraId="2672BB49" w14:textId="77777777" w:rsidTr="0076476B">
        <w:trPr>
          <w:trHeight w:val="671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23701BE3" w14:textId="3C417A72" w:rsidR="003A4ECF" w:rsidRPr="0076476B" w:rsidRDefault="003A4ECF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Received by (job holder)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1EEA8811" w14:textId="6212186B" w:rsidR="003A4ECF" w:rsidRPr="0076476B" w:rsidRDefault="003A4ECF" w:rsidP="003A4EC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76476B" w:rsidRPr="0076476B" w14:paraId="79362059" w14:textId="77777777" w:rsidTr="0076476B">
        <w:trPr>
          <w:trHeight w:val="671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7385CEAF" w14:textId="7C5A9035" w:rsidR="003A4ECF" w:rsidRPr="0076476B" w:rsidRDefault="003A4ECF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Signed off 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6F570A61" w14:textId="288755FE" w:rsidR="003A4ECF" w:rsidRPr="009B7142" w:rsidRDefault="003A4ECF" w:rsidP="003A4ECF">
            <w:pPr>
              <w:widowControl w:val="0"/>
              <w:spacing w:line="276" w:lineRule="auto"/>
              <w:rPr>
                <w:rFonts w:ascii="Kunstler Script" w:eastAsia="Arial" w:hAnsi="Kunstler Script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76476B" w:rsidRPr="0076476B" w14:paraId="1D6AB132" w14:textId="77777777" w:rsidTr="0076476B">
        <w:trPr>
          <w:trHeight w:val="671"/>
          <w:jc w:val="center"/>
        </w:trPr>
        <w:tc>
          <w:tcPr>
            <w:tcW w:w="2554" w:type="dxa"/>
            <w:shd w:val="clear" w:color="auto" w:fill="auto"/>
            <w:vAlign w:val="center"/>
          </w:tcPr>
          <w:p w14:paraId="6CAC1815" w14:textId="108EBDC3" w:rsidR="003A4ECF" w:rsidRPr="0076476B" w:rsidRDefault="003A4ECF" w:rsidP="003A4EC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76476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2124D777" w14:textId="6E123A2F" w:rsidR="003A4ECF" w:rsidRPr="0076476B" w:rsidRDefault="003A4ECF" w:rsidP="003A4EC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45E95563" w14:textId="3397EABE" w:rsidR="00952B92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9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9092A" w14:textId="77777777" w:rsidR="002148A0" w:rsidRDefault="002148A0">
      <w:r>
        <w:separator/>
      </w:r>
    </w:p>
  </w:endnote>
  <w:endnote w:type="continuationSeparator" w:id="0">
    <w:p w14:paraId="5B845D5B" w14:textId="77777777" w:rsidR="002148A0" w:rsidRDefault="002148A0">
      <w:r>
        <w:continuationSeparator/>
      </w:r>
    </w:p>
  </w:endnote>
  <w:endnote w:type="continuationNotice" w:id="1">
    <w:p w14:paraId="5D612576" w14:textId="77777777" w:rsidR="00BF2DD2" w:rsidRDefault="00BF2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C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C23DA" w14:textId="77777777" w:rsidR="002148A0" w:rsidRDefault="002148A0">
      <w:r>
        <w:separator/>
      </w:r>
    </w:p>
  </w:footnote>
  <w:footnote w:type="continuationSeparator" w:id="0">
    <w:p w14:paraId="65F1E011" w14:textId="77777777" w:rsidR="002148A0" w:rsidRDefault="002148A0">
      <w:r>
        <w:continuationSeparator/>
      </w:r>
    </w:p>
  </w:footnote>
  <w:footnote w:type="continuationNotice" w:id="1">
    <w:p w14:paraId="76ECCF4B" w14:textId="77777777" w:rsidR="00BF2DD2" w:rsidRDefault="00BF2D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5614D"/>
    <w:multiLevelType w:val="multilevel"/>
    <w:tmpl w:val="3E8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51492"/>
    <w:multiLevelType w:val="hybridMultilevel"/>
    <w:tmpl w:val="91D88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8A5"/>
    <w:multiLevelType w:val="hybridMultilevel"/>
    <w:tmpl w:val="1E0AC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7C4E"/>
    <w:multiLevelType w:val="hybridMultilevel"/>
    <w:tmpl w:val="3D3EE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E257E"/>
    <w:multiLevelType w:val="hybridMultilevel"/>
    <w:tmpl w:val="FDAE7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5945"/>
    <w:multiLevelType w:val="hybridMultilevel"/>
    <w:tmpl w:val="D3F88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17AEC"/>
    <w:multiLevelType w:val="hybridMultilevel"/>
    <w:tmpl w:val="276476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A33B5E"/>
    <w:multiLevelType w:val="hybridMultilevel"/>
    <w:tmpl w:val="7AEA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43A2A"/>
    <w:multiLevelType w:val="hybridMultilevel"/>
    <w:tmpl w:val="1B5C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B7D2A"/>
    <w:multiLevelType w:val="hybridMultilevel"/>
    <w:tmpl w:val="12BC1F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D55B2E"/>
    <w:multiLevelType w:val="hybridMultilevel"/>
    <w:tmpl w:val="82CC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37AE1"/>
    <w:multiLevelType w:val="hybridMultilevel"/>
    <w:tmpl w:val="D09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4582A"/>
    <w:multiLevelType w:val="multilevel"/>
    <w:tmpl w:val="A5AEA9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A5633A9"/>
    <w:multiLevelType w:val="hybridMultilevel"/>
    <w:tmpl w:val="62E69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1023A"/>
    <w:multiLevelType w:val="hybridMultilevel"/>
    <w:tmpl w:val="D29C267C"/>
    <w:lvl w:ilvl="0" w:tplc="E782F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61341">
    <w:abstractNumId w:val="12"/>
  </w:num>
  <w:num w:numId="2" w16cid:durableId="1942637918">
    <w:abstractNumId w:val="16"/>
  </w:num>
  <w:num w:numId="3" w16cid:durableId="330985490">
    <w:abstractNumId w:val="8"/>
  </w:num>
  <w:num w:numId="4" w16cid:durableId="151456555">
    <w:abstractNumId w:val="7"/>
  </w:num>
  <w:num w:numId="5" w16cid:durableId="1800493006">
    <w:abstractNumId w:val="0"/>
  </w:num>
  <w:num w:numId="6" w16cid:durableId="2051152069">
    <w:abstractNumId w:val="15"/>
  </w:num>
  <w:num w:numId="7" w16cid:durableId="1109010975">
    <w:abstractNumId w:val="2"/>
  </w:num>
  <w:num w:numId="8" w16cid:durableId="921642677">
    <w:abstractNumId w:val="11"/>
  </w:num>
  <w:num w:numId="9" w16cid:durableId="781338183">
    <w:abstractNumId w:val="5"/>
  </w:num>
  <w:num w:numId="10" w16cid:durableId="994844192">
    <w:abstractNumId w:val="6"/>
  </w:num>
  <w:num w:numId="11" w16cid:durableId="208491835">
    <w:abstractNumId w:val="3"/>
  </w:num>
  <w:num w:numId="12" w16cid:durableId="69542520">
    <w:abstractNumId w:val="1"/>
  </w:num>
  <w:num w:numId="13" w16cid:durableId="1084255845">
    <w:abstractNumId w:val="14"/>
  </w:num>
  <w:num w:numId="14" w16cid:durableId="1947425616">
    <w:abstractNumId w:val="13"/>
  </w:num>
  <w:num w:numId="15" w16cid:durableId="2018574347">
    <w:abstractNumId w:val="4"/>
  </w:num>
  <w:num w:numId="16" w16cid:durableId="1750344305">
    <w:abstractNumId w:val="9"/>
  </w:num>
  <w:num w:numId="17" w16cid:durableId="414207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03AE"/>
    <w:rsid w:val="00003EA7"/>
    <w:rsid w:val="00012B05"/>
    <w:rsid w:val="000455AB"/>
    <w:rsid w:val="000643F4"/>
    <w:rsid w:val="00085077"/>
    <w:rsid w:val="000C58EB"/>
    <w:rsid w:val="000D45F1"/>
    <w:rsid w:val="000E4B2B"/>
    <w:rsid w:val="001068A4"/>
    <w:rsid w:val="00123A76"/>
    <w:rsid w:val="0015791B"/>
    <w:rsid w:val="0016076E"/>
    <w:rsid w:val="001753E8"/>
    <w:rsid w:val="001753F0"/>
    <w:rsid w:val="00177F53"/>
    <w:rsid w:val="0018201A"/>
    <w:rsid w:val="001914D8"/>
    <w:rsid w:val="001B43BF"/>
    <w:rsid w:val="001C1BFA"/>
    <w:rsid w:val="001D0216"/>
    <w:rsid w:val="001D42B3"/>
    <w:rsid w:val="001F1927"/>
    <w:rsid w:val="002148A0"/>
    <w:rsid w:val="00247CD4"/>
    <w:rsid w:val="002537F4"/>
    <w:rsid w:val="002561D1"/>
    <w:rsid w:val="00260696"/>
    <w:rsid w:val="00271642"/>
    <w:rsid w:val="002860D0"/>
    <w:rsid w:val="00293B82"/>
    <w:rsid w:val="00294841"/>
    <w:rsid w:val="00294A42"/>
    <w:rsid w:val="002965A3"/>
    <w:rsid w:val="002A1238"/>
    <w:rsid w:val="002A3BA2"/>
    <w:rsid w:val="002C5056"/>
    <w:rsid w:val="002D2076"/>
    <w:rsid w:val="002D73BC"/>
    <w:rsid w:val="00312B55"/>
    <w:rsid w:val="003168DA"/>
    <w:rsid w:val="0032144B"/>
    <w:rsid w:val="003221B0"/>
    <w:rsid w:val="00332B6A"/>
    <w:rsid w:val="0033732D"/>
    <w:rsid w:val="00364210"/>
    <w:rsid w:val="00376145"/>
    <w:rsid w:val="0038348E"/>
    <w:rsid w:val="003A1162"/>
    <w:rsid w:val="003A4ECF"/>
    <w:rsid w:val="003B79E4"/>
    <w:rsid w:val="003B7B95"/>
    <w:rsid w:val="003E2776"/>
    <w:rsid w:val="004071DB"/>
    <w:rsid w:val="00407BB7"/>
    <w:rsid w:val="00417B2F"/>
    <w:rsid w:val="00422B41"/>
    <w:rsid w:val="00443852"/>
    <w:rsid w:val="004509D4"/>
    <w:rsid w:val="0045122B"/>
    <w:rsid w:val="00454310"/>
    <w:rsid w:val="00460503"/>
    <w:rsid w:val="00481EC3"/>
    <w:rsid w:val="004947BA"/>
    <w:rsid w:val="00496895"/>
    <w:rsid w:val="004B50C5"/>
    <w:rsid w:val="004D1AAF"/>
    <w:rsid w:val="0050093D"/>
    <w:rsid w:val="00565A30"/>
    <w:rsid w:val="005A3566"/>
    <w:rsid w:val="005A3584"/>
    <w:rsid w:val="005D071F"/>
    <w:rsid w:val="005D2276"/>
    <w:rsid w:val="005E64C0"/>
    <w:rsid w:val="00602673"/>
    <w:rsid w:val="00614C99"/>
    <w:rsid w:val="0064063C"/>
    <w:rsid w:val="00652722"/>
    <w:rsid w:val="0065376D"/>
    <w:rsid w:val="00674585"/>
    <w:rsid w:val="00686723"/>
    <w:rsid w:val="006A222E"/>
    <w:rsid w:val="006A7864"/>
    <w:rsid w:val="006D4C05"/>
    <w:rsid w:val="006D5CC2"/>
    <w:rsid w:val="00703319"/>
    <w:rsid w:val="00705E63"/>
    <w:rsid w:val="0071487D"/>
    <w:rsid w:val="00715CD5"/>
    <w:rsid w:val="00727D52"/>
    <w:rsid w:val="0076476B"/>
    <w:rsid w:val="007C6F24"/>
    <w:rsid w:val="00807480"/>
    <w:rsid w:val="0083787B"/>
    <w:rsid w:val="00842918"/>
    <w:rsid w:val="0084611D"/>
    <w:rsid w:val="00875173"/>
    <w:rsid w:val="008A4C06"/>
    <w:rsid w:val="008A5A3B"/>
    <w:rsid w:val="008A657E"/>
    <w:rsid w:val="008B3B59"/>
    <w:rsid w:val="008B40C0"/>
    <w:rsid w:val="008C5B72"/>
    <w:rsid w:val="008F1D40"/>
    <w:rsid w:val="008F40F9"/>
    <w:rsid w:val="00952B92"/>
    <w:rsid w:val="00963E41"/>
    <w:rsid w:val="0097110B"/>
    <w:rsid w:val="009B7142"/>
    <w:rsid w:val="009D64B7"/>
    <w:rsid w:val="00A02C7F"/>
    <w:rsid w:val="00A13C7E"/>
    <w:rsid w:val="00A1536D"/>
    <w:rsid w:val="00A17269"/>
    <w:rsid w:val="00A3314A"/>
    <w:rsid w:val="00A36FAC"/>
    <w:rsid w:val="00A608E8"/>
    <w:rsid w:val="00A710E5"/>
    <w:rsid w:val="00A72354"/>
    <w:rsid w:val="00AA05B5"/>
    <w:rsid w:val="00AD0A91"/>
    <w:rsid w:val="00AE232F"/>
    <w:rsid w:val="00B062F0"/>
    <w:rsid w:val="00B10D28"/>
    <w:rsid w:val="00B5402F"/>
    <w:rsid w:val="00B54FA1"/>
    <w:rsid w:val="00B60476"/>
    <w:rsid w:val="00B668AC"/>
    <w:rsid w:val="00B70645"/>
    <w:rsid w:val="00B83345"/>
    <w:rsid w:val="00B85AB8"/>
    <w:rsid w:val="00B8693F"/>
    <w:rsid w:val="00B86BD9"/>
    <w:rsid w:val="00B919CD"/>
    <w:rsid w:val="00BB1310"/>
    <w:rsid w:val="00BB670D"/>
    <w:rsid w:val="00BC6DD3"/>
    <w:rsid w:val="00BF2DD2"/>
    <w:rsid w:val="00C47AC8"/>
    <w:rsid w:val="00C55263"/>
    <w:rsid w:val="00C56CE9"/>
    <w:rsid w:val="00C56F84"/>
    <w:rsid w:val="00C6395A"/>
    <w:rsid w:val="00C83A65"/>
    <w:rsid w:val="00CB0058"/>
    <w:rsid w:val="00CB60FB"/>
    <w:rsid w:val="00CF50C0"/>
    <w:rsid w:val="00CF6316"/>
    <w:rsid w:val="00D069E4"/>
    <w:rsid w:val="00D16C4F"/>
    <w:rsid w:val="00D25A13"/>
    <w:rsid w:val="00D46310"/>
    <w:rsid w:val="00D760E8"/>
    <w:rsid w:val="00DB760A"/>
    <w:rsid w:val="00DC1C13"/>
    <w:rsid w:val="00DD6A01"/>
    <w:rsid w:val="00DF12A3"/>
    <w:rsid w:val="00E163B3"/>
    <w:rsid w:val="00E31831"/>
    <w:rsid w:val="00E37720"/>
    <w:rsid w:val="00E42EC6"/>
    <w:rsid w:val="00E43B15"/>
    <w:rsid w:val="00E5039E"/>
    <w:rsid w:val="00E510FA"/>
    <w:rsid w:val="00E5159C"/>
    <w:rsid w:val="00E6435E"/>
    <w:rsid w:val="00E92E93"/>
    <w:rsid w:val="00E93627"/>
    <w:rsid w:val="00E961AB"/>
    <w:rsid w:val="00E969F9"/>
    <w:rsid w:val="00EB17AA"/>
    <w:rsid w:val="00EC5F49"/>
    <w:rsid w:val="00ED78A1"/>
    <w:rsid w:val="00EE2B26"/>
    <w:rsid w:val="00EF249C"/>
    <w:rsid w:val="00F17865"/>
    <w:rsid w:val="00F232FA"/>
    <w:rsid w:val="00F310DA"/>
    <w:rsid w:val="00F66FE9"/>
    <w:rsid w:val="00F75D0A"/>
    <w:rsid w:val="00F81D48"/>
    <w:rsid w:val="00F860F9"/>
    <w:rsid w:val="00F86303"/>
    <w:rsid w:val="00F97A2B"/>
    <w:rsid w:val="00FB6461"/>
    <w:rsid w:val="00FB6BD4"/>
    <w:rsid w:val="00FC0D65"/>
    <w:rsid w:val="00FC4FBE"/>
    <w:rsid w:val="00FC5B32"/>
    <w:rsid w:val="00FD1767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838E722-E79D-4AC2-8A21-8AA7717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77F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296"/>
      </w:tabs>
      <w:spacing w:before="240" w:after="60" w:line="260" w:lineRule="atLeast"/>
      <w:ind w:left="1296" w:hanging="1296"/>
      <w:outlineLvl w:val="6"/>
    </w:pPr>
    <w:rPr>
      <w:rFonts w:ascii="Arial" w:hAnsi="Arial"/>
      <w:color w:val="auto"/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177F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440"/>
      </w:tabs>
      <w:spacing w:before="240" w:after="60" w:line="260" w:lineRule="atLeast"/>
      <w:ind w:left="1440" w:hanging="1440"/>
      <w:outlineLvl w:val="7"/>
    </w:pPr>
    <w:rPr>
      <w:rFonts w:ascii="Arial" w:hAnsi="Arial"/>
      <w:i/>
      <w:iCs/>
      <w:color w:val="auto"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177F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584"/>
      </w:tabs>
      <w:spacing w:before="240" w:after="60" w:line="260" w:lineRule="atLeast"/>
      <w:ind w:left="1584" w:hanging="1584"/>
      <w:outlineLvl w:val="8"/>
    </w:pPr>
    <w:rPr>
      <w:rFonts w:ascii="Arial" w:hAnsi="Arial" w:cs="Arial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2606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60696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F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92"/>
    </w:pPr>
    <w:rPr>
      <w:color w:val="auto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177F53"/>
    <w:rPr>
      <w:rFonts w:ascii="Arial" w:hAnsi="Arial"/>
      <w:color w:val="auto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77F53"/>
    <w:rPr>
      <w:rFonts w:ascii="Arial" w:hAnsi="Arial"/>
      <w:i/>
      <w:iCs/>
      <w:color w:val="auto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77F53"/>
    <w:rPr>
      <w:rFonts w:ascii="Arial" w:hAnsi="Arial" w:cs="Arial"/>
      <w:color w:val="auto"/>
      <w:sz w:val="22"/>
      <w:szCs w:val="22"/>
      <w:lang w:eastAsia="en-US"/>
    </w:rPr>
  </w:style>
  <w:style w:type="paragraph" w:styleId="NormalIndent">
    <w:name w:val="Normal Indent"/>
    <w:basedOn w:val="Normal"/>
    <w:rsid w:val="00177F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left="737" w:hanging="737"/>
    </w:pPr>
    <w:rPr>
      <w:rFonts w:ascii="Arial" w:hAnsi="Arial"/>
      <w:color w:val="auto"/>
      <w:sz w:val="22"/>
      <w:lang w:eastAsia="en-US"/>
    </w:rPr>
  </w:style>
  <w:style w:type="paragraph" w:styleId="NoSpacing">
    <w:name w:val="No Spacing"/>
    <w:uiPriority w:val="1"/>
    <w:qFormat/>
    <w:rsid w:val="00177F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color w:val="auto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72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809F-8AC9-4E5C-9770-1DF8FB18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Katie Bryden</cp:lastModifiedBy>
  <cp:revision>2</cp:revision>
  <cp:lastPrinted>2019-11-19T11:57:00Z</cp:lastPrinted>
  <dcterms:created xsi:type="dcterms:W3CDTF">2025-01-10T16:57:00Z</dcterms:created>
  <dcterms:modified xsi:type="dcterms:W3CDTF">2025-01-10T16:57:00Z</dcterms:modified>
</cp:coreProperties>
</file>