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7080" w14:textId="08B2BE27" w:rsidR="004C1D65" w:rsidRDefault="005A22BF" w:rsidP="005A22BF">
      <w:pPr>
        <w:jc w:val="center"/>
      </w:pPr>
      <w:r w:rsidRPr="008B3B59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2B7098D" wp14:editId="527DCE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00300" cy="1256071"/>
            <wp:effectExtent l="0" t="0" r="0" b="1270"/>
            <wp:wrapTight wrapText="bothSides">
              <wp:wrapPolygon edited="0">
                <wp:start x="0" y="0"/>
                <wp:lineTo x="0" y="21294"/>
                <wp:lineTo x="21429" y="21294"/>
                <wp:lineTo x="21429" y="0"/>
                <wp:lineTo x="0" y="0"/>
              </wp:wrapPolygon>
            </wp:wrapTight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58EDF" w14:textId="3DB6DD66" w:rsidR="005A22BF" w:rsidRPr="005A22BF" w:rsidRDefault="005A22BF" w:rsidP="005A22BF"/>
    <w:p w14:paraId="2B586A79" w14:textId="79F96451" w:rsidR="005A22BF" w:rsidRPr="005A22BF" w:rsidRDefault="005A22BF" w:rsidP="005A22BF"/>
    <w:p w14:paraId="6F8A78C0" w14:textId="2E474B5F" w:rsidR="005A22BF" w:rsidRPr="005A22BF" w:rsidRDefault="005A22BF" w:rsidP="005A22BF"/>
    <w:p w14:paraId="00234B77" w14:textId="6512C070" w:rsidR="005A22BF" w:rsidRDefault="005A22BF" w:rsidP="005A22BF"/>
    <w:tbl>
      <w:tblPr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5A22BF" w:rsidRPr="008B3B59" w14:paraId="53FD0DA3" w14:textId="77777777" w:rsidTr="00E82CE0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F60E9FA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  <w:color w:val="FFFFFF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5A22BF" w:rsidRPr="008B3B59" w14:paraId="44A52086" w14:textId="77777777" w:rsidTr="00E82CE0">
        <w:trPr>
          <w:trHeight w:val="280"/>
        </w:trPr>
        <w:tc>
          <w:tcPr>
            <w:tcW w:w="2565" w:type="dxa"/>
            <w:shd w:val="clear" w:color="auto" w:fill="FFFDEE"/>
          </w:tcPr>
          <w:p w14:paraId="2E00FCAF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76EA9093" w14:textId="18772A57" w:rsidR="005A22BF" w:rsidRPr="008B3B59" w:rsidRDefault="0047769A" w:rsidP="00E82CE0">
            <w:pPr>
              <w:rPr>
                <w:rFonts w:ascii="Arial" w:eastAsia="Arial" w:hAnsi="Arial" w:cs="Arial"/>
              </w:rPr>
            </w:pPr>
            <w:r w:rsidRPr="0047769A">
              <w:rPr>
                <w:rFonts w:ascii="Arial" w:eastAsia="Arial" w:hAnsi="Arial" w:cs="Arial"/>
              </w:rPr>
              <w:t>Quality Assurance Manager</w:t>
            </w:r>
          </w:p>
        </w:tc>
        <w:tc>
          <w:tcPr>
            <w:tcW w:w="1701" w:type="dxa"/>
            <w:shd w:val="clear" w:color="auto" w:fill="FFFDEE"/>
          </w:tcPr>
          <w:p w14:paraId="1FB950CA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235D12C0" w14:textId="783EBEFF" w:rsidR="005A22BF" w:rsidRPr="008B3B59" w:rsidRDefault="0019533E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19/04/24</w:t>
            </w:r>
          </w:p>
        </w:tc>
      </w:tr>
      <w:tr w:rsidR="005A22BF" w:rsidRPr="008B3B59" w14:paraId="02481B05" w14:textId="77777777" w:rsidTr="00E82CE0">
        <w:trPr>
          <w:trHeight w:val="260"/>
        </w:trPr>
        <w:tc>
          <w:tcPr>
            <w:tcW w:w="2565" w:type="dxa"/>
            <w:shd w:val="clear" w:color="auto" w:fill="FFFDEE"/>
          </w:tcPr>
          <w:p w14:paraId="0DDD872E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0697A2AA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Samworth Brothers Meals</w:t>
            </w:r>
          </w:p>
        </w:tc>
      </w:tr>
      <w:tr w:rsidR="005A22BF" w:rsidRPr="008B3B59" w14:paraId="54630C4E" w14:textId="77777777" w:rsidTr="00E82CE0">
        <w:tc>
          <w:tcPr>
            <w:tcW w:w="2565" w:type="dxa"/>
            <w:shd w:val="clear" w:color="auto" w:fill="FFFDEE"/>
          </w:tcPr>
          <w:p w14:paraId="23413854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181ABA20" w14:textId="76940F45" w:rsidR="005A22BF" w:rsidRPr="008B3B59" w:rsidRDefault="0047769A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Technical</w:t>
            </w:r>
          </w:p>
        </w:tc>
      </w:tr>
      <w:tr w:rsidR="005A22BF" w:rsidRPr="008B3B59" w14:paraId="5ED2D434" w14:textId="77777777" w:rsidTr="00E82CE0">
        <w:trPr>
          <w:trHeight w:val="280"/>
        </w:trPr>
        <w:tc>
          <w:tcPr>
            <w:tcW w:w="2565" w:type="dxa"/>
            <w:shd w:val="clear" w:color="auto" w:fill="FFFDEE"/>
          </w:tcPr>
          <w:p w14:paraId="76DBEC64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6E08B348" w14:textId="392A18B6" w:rsidR="005A22BF" w:rsidRPr="008B3B59" w:rsidRDefault="00EB2E17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Saladworks</w:t>
            </w:r>
          </w:p>
        </w:tc>
      </w:tr>
      <w:tr w:rsidR="005A22BF" w:rsidRPr="008B3B59" w14:paraId="4C0671D3" w14:textId="77777777" w:rsidTr="00E82CE0">
        <w:tc>
          <w:tcPr>
            <w:tcW w:w="10207" w:type="dxa"/>
            <w:gridSpan w:val="4"/>
            <w:shd w:val="clear" w:color="auto" w:fill="988445"/>
          </w:tcPr>
          <w:p w14:paraId="5923C341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ROLE SUMMARY </w:t>
            </w:r>
          </w:p>
        </w:tc>
      </w:tr>
      <w:tr w:rsidR="005A22BF" w:rsidRPr="008B3B59" w14:paraId="393F2930" w14:textId="77777777" w:rsidTr="0047769A">
        <w:trPr>
          <w:trHeight w:val="747"/>
        </w:trPr>
        <w:tc>
          <w:tcPr>
            <w:tcW w:w="10207" w:type="dxa"/>
            <w:gridSpan w:val="4"/>
          </w:tcPr>
          <w:p w14:paraId="5ACB0301" w14:textId="1F02E31F" w:rsidR="005A22BF" w:rsidRPr="0047769A" w:rsidRDefault="0047769A" w:rsidP="004776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Managing the Quality </w:t>
            </w:r>
            <w:r w:rsidR="00B36A6A">
              <w:rPr>
                <w:rFonts w:ascii="Arial" w:hAnsi="Arial" w:cs="Arial"/>
                <w:sz w:val="20"/>
                <w:szCs w:val="20"/>
              </w:rPr>
              <w:t xml:space="preserve">Assurance </w:t>
            </w:r>
            <w:r>
              <w:rPr>
                <w:rFonts w:ascii="Arial" w:hAnsi="Arial" w:cs="Arial"/>
                <w:sz w:val="20"/>
                <w:szCs w:val="20"/>
              </w:rPr>
              <w:t>systems and department. Taking an active part in ensuring manufacturing standards are adhered to and improved, together with enforcing the requirements of the food safety</w:t>
            </w:r>
            <w:r w:rsidR="00B36A6A">
              <w:rPr>
                <w:rFonts w:ascii="Arial" w:hAnsi="Arial" w:cs="Arial"/>
                <w:sz w:val="20"/>
                <w:szCs w:val="20"/>
              </w:rPr>
              <w:t>, legality and quality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standards of the site.</w:t>
            </w:r>
          </w:p>
        </w:tc>
      </w:tr>
      <w:tr w:rsidR="005A22BF" w:rsidRPr="008B3B59" w14:paraId="124E6E77" w14:textId="77777777" w:rsidTr="00E82CE0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471BD886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  <w:color w:val="FFFFFF"/>
              </w:rPr>
              <w:t>REPORTING STRUCTURE</w:t>
            </w:r>
          </w:p>
        </w:tc>
      </w:tr>
      <w:tr w:rsidR="005A22BF" w:rsidRPr="008B3B59" w14:paraId="0B0559B2" w14:textId="77777777" w:rsidTr="00E82CE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65F08047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67614B5" w14:textId="2D89F864" w:rsidR="005A22BF" w:rsidRPr="008B3B59" w:rsidRDefault="0047769A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Manager</w:t>
            </w:r>
            <w:r w:rsidRPr="001E2D9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A22BF" w:rsidRPr="008B3B59" w14:paraId="5E77AB9B" w14:textId="77777777" w:rsidTr="00E82CE0">
        <w:trPr>
          <w:trHeight w:val="120"/>
        </w:trPr>
        <w:tc>
          <w:tcPr>
            <w:tcW w:w="2565" w:type="dxa"/>
            <w:shd w:val="clear" w:color="auto" w:fill="FFFDEE"/>
          </w:tcPr>
          <w:p w14:paraId="674EB164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50F83E37" w14:textId="6B2F12A4" w:rsidR="005A22BF" w:rsidRPr="008B3B59" w:rsidRDefault="005C250E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QA Team Leaders, QA Auditors, Taste Panel Co-ordinator</w:t>
            </w:r>
            <w:r w:rsidR="00EB2E17">
              <w:rPr>
                <w:rFonts w:ascii="Arial" w:hAnsi="Arial" w:cs="Arial"/>
                <w:sz w:val="20"/>
                <w:szCs w:val="20"/>
              </w:rPr>
              <w:t>, Raw Materials Team Leader, Raw Materials QA</w:t>
            </w:r>
          </w:p>
        </w:tc>
      </w:tr>
      <w:tr w:rsidR="005A22BF" w:rsidRPr="008B3B59" w14:paraId="4A3B5F47" w14:textId="77777777" w:rsidTr="00E82CE0">
        <w:trPr>
          <w:trHeight w:val="60"/>
        </w:trPr>
        <w:tc>
          <w:tcPr>
            <w:tcW w:w="2565" w:type="dxa"/>
            <w:shd w:val="clear" w:color="auto" w:fill="FFFDEE"/>
          </w:tcPr>
          <w:p w14:paraId="2FFF3B2B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77567109" w14:textId="001D6A69" w:rsidR="005A22BF" w:rsidRPr="005C250E" w:rsidRDefault="005C250E" w:rsidP="005A22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Compliance</w:t>
            </w:r>
            <w:r w:rsidR="008106CD">
              <w:rPr>
                <w:rFonts w:ascii="Arial" w:eastAsia="Arial" w:hAnsi="Arial" w:cs="Arial"/>
                <w:sz w:val="20"/>
                <w:szCs w:val="20"/>
              </w:rPr>
              <w:t xml:space="preserve"> Team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Technical Services, Process Development, </w:t>
            </w:r>
            <w:r w:rsidR="00B76A7B" w:rsidRPr="005C250E">
              <w:rPr>
                <w:rFonts w:ascii="Arial" w:eastAsia="Arial" w:hAnsi="Arial" w:cs="Arial"/>
                <w:sz w:val="20"/>
                <w:szCs w:val="20"/>
              </w:rPr>
              <w:t>Operations, Hygiene, Supply Chain, Engineering, Health &amp; Safety, Responsible Business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>, Continuous Improvement</w:t>
            </w:r>
          </w:p>
        </w:tc>
      </w:tr>
      <w:tr w:rsidR="005A22BF" w:rsidRPr="008B3B59" w14:paraId="04C81A64" w14:textId="77777777" w:rsidTr="00E82CE0">
        <w:trPr>
          <w:trHeight w:val="200"/>
        </w:trPr>
        <w:tc>
          <w:tcPr>
            <w:tcW w:w="2565" w:type="dxa"/>
            <w:shd w:val="clear" w:color="auto" w:fill="FFFDEE"/>
          </w:tcPr>
          <w:p w14:paraId="62C30E1E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7001813E" w14:textId="6776F74E" w:rsidR="005A22BF" w:rsidRPr="005C250E" w:rsidRDefault="00B76A7B" w:rsidP="00E82C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Customers,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aw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aterial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uppliers,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hird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arty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udit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odies, Group Technical,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ister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ites,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est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anagement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>rovider</w:t>
            </w:r>
          </w:p>
        </w:tc>
      </w:tr>
      <w:tr w:rsidR="005A22BF" w:rsidRPr="008B3B59" w14:paraId="75234F3E" w14:textId="77777777" w:rsidTr="00E82CE0">
        <w:tc>
          <w:tcPr>
            <w:tcW w:w="10207" w:type="dxa"/>
            <w:gridSpan w:val="4"/>
            <w:shd w:val="clear" w:color="auto" w:fill="988445"/>
          </w:tcPr>
          <w:p w14:paraId="0BA93357" w14:textId="77777777" w:rsidR="005A22BF" w:rsidRPr="008B3B59" w:rsidRDefault="005A22BF" w:rsidP="00E82CE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5A22BF" w:rsidRPr="008B3B59" w14:paraId="789D581E" w14:textId="77777777" w:rsidTr="0047769A">
        <w:trPr>
          <w:trHeight w:val="1833"/>
        </w:trPr>
        <w:tc>
          <w:tcPr>
            <w:tcW w:w="10207" w:type="dxa"/>
            <w:gridSpan w:val="4"/>
          </w:tcPr>
          <w:p w14:paraId="68590677" w14:textId="728A1204" w:rsidR="0047769A" w:rsidRPr="0047769A" w:rsidRDefault="0047769A" w:rsidP="00477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manage the Quality Assurance Team across 24/7 operation and be the point of reference for matters relating to </w:t>
            </w:r>
            <w:r w:rsidR="008B22FE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ood safety</w:t>
            </w:r>
            <w:r w:rsidR="008B22FE">
              <w:rPr>
                <w:rFonts w:ascii="Arial" w:hAnsi="Arial" w:cs="Arial"/>
                <w:sz w:val="20"/>
                <w:szCs w:val="20"/>
              </w:rPr>
              <w:t>, legality and quality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the business. Ensure good relationships maintained between QA and operations functions. Where issues (non-conformances) have been raised</w:t>
            </w:r>
            <w:r w:rsidR="008B22F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ensure that relevant departments have completed the appropriate actions.</w:t>
            </w:r>
            <w:r w:rsidR="00EB2E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Ensure that the QA systems are completed 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and maintained </w:t>
            </w:r>
            <w:r>
              <w:rPr>
                <w:rFonts w:ascii="Arial" w:hAnsi="Arial" w:cs="Arial"/>
                <w:sz w:val="20"/>
                <w:szCs w:val="20"/>
              </w:rPr>
              <w:t>to a satisfactory standard (</w:t>
            </w:r>
            <w:r w:rsidR="008B22FE">
              <w:rPr>
                <w:rFonts w:ascii="Arial" w:hAnsi="Arial" w:cs="Arial"/>
                <w:sz w:val="20"/>
                <w:szCs w:val="20"/>
              </w:rPr>
              <w:t>e.g.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</w:t>
            </w:r>
            <w:r w:rsidR="008B22FE">
              <w:rPr>
                <w:rFonts w:ascii="Arial" w:hAnsi="Arial" w:cs="Arial"/>
                <w:sz w:val="20"/>
                <w:szCs w:val="20"/>
              </w:rPr>
              <w:t>BRCGS and customer m</w:t>
            </w:r>
            <w:r>
              <w:rPr>
                <w:rFonts w:ascii="Arial" w:hAnsi="Arial" w:cs="Arial"/>
                <w:sz w:val="20"/>
                <w:szCs w:val="20"/>
              </w:rPr>
              <w:t xml:space="preserve">anufacturing </w:t>
            </w:r>
            <w:r w:rsidR="008B22F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tandards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) Deputise for the Technical Manager. </w:t>
            </w:r>
          </w:p>
          <w:p w14:paraId="3A59F2F3" w14:textId="79CC5BA4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To manage the Quality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ssurance </w:t>
            </w:r>
            <w:r w:rsidR="008106CD">
              <w:rPr>
                <w:rFonts w:ascii="Arial" w:hAnsi="Arial" w:cs="Arial"/>
                <w:sz w:val="20"/>
                <w:szCs w:val="20"/>
              </w:rPr>
              <w:t>d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epartment and build a </w:t>
            </w:r>
            <w:r>
              <w:rPr>
                <w:rFonts w:ascii="Arial" w:hAnsi="Arial" w:cs="Arial"/>
                <w:sz w:val="20"/>
                <w:szCs w:val="20"/>
              </w:rPr>
              <w:t xml:space="preserve">strong 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team. </w:t>
            </w:r>
          </w:p>
          <w:p w14:paraId="27CA2773" w14:textId="1563727D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Action out of specification microbiological, raw material and process issues, to reach a satisfactory conclusion </w:t>
            </w:r>
          </w:p>
          <w:p w14:paraId="11583215" w14:textId="0CD8A108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>Train and develop QA auditors to enable them to complete factory audit</w:t>
            </w:r>
            <w:r w:rsidR="008B22FE">
              <w:rPr>
                <w:rFonts w:ascii="Arial" w:hAnsi="Arial" w:cs="Arial"/>
                <w:sz w:val="20"/>
                <w:szCs w:val="20"/>
              </w:rPr>
              <w:t>s to a competent level</w:t>
            </w:r>
          </w:p>
          <w:p w14:paraId="7F861828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Develop the auditing system within the factory </w:t>
            </w:r>
          </w:p>
          <w:p w14:paraId="5659B024" w14:textId="73F80352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QA team to audit critical </w:t>
            </w:r>
            <w:r w:rsidR="008B22FE">
              <w:rPr>
                <w:rFonts w:ascii="Arial" w:hAnsi="Arial" w:cs="Arial"/>
                <w:sz w:val="20"/>
                <w:szCs w:val="20"/>
              </w:rPr>
              <w:t xml:space="preserve">systems, </w:t>
            </w:r>
            <w:r w:rsidRPr="00AB3D41">
              <w:rPr>
                <w:rFonts w:ascii="Arial" w:hAnsi="Arial" w:cs="Arial"/>
                <w:sz w:val="20"/>
                <w:szCs w:val="20"/>
              </w:rPr>
              <w:t>highlight errors and omissions</w:t>
            </w:r>
            <w:r w:rsidR="008B22FE">
              <w:rPr>
                <w:rFonts w:ascii="Arial" w:hAnsi="Arial" w:cs="Arial"/>
                <w:sz w:val="20"/>
                <w:szCs w:val="20"/>
              </w:rPr>
              <w:t>,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 raise with QA Manager and formulate resolution </w:t>
            </w:r>
          </w:p>
          <w:p w14:paraId="49C7276D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Play an active role in the continued development of the HACCP system on site </w:t>
            </w:r>
          </w:p>
          <w:p w14:paraId="78404BF9" w14:textId="0EF6070C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Monitor Pest </w:t>
            </w:r>
            <w:r w:rsidR="008B22FE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contract, ensuring required actions are completed on a timely basis. </w:t>
            </w:r>
          </w:p>
          <w:p w14:paraId="55AF8551" w14:textId="2FE496CB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>Establish a calibration schedule for all measuring equipment and allocate responsibilities for inspections /calibration.</w:t>
            </w:r>
          </w:p>
          <w:p w14:paraId="499A69FD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Develop a robust positive release system for all </w:t>
            </w: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high risk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 products, ensuring all new raw materials are assessed against preset criteria </w:t>
            </w:r>
          </w:p>
          <w:p w14:paraId="43E0E886" w14:textId="4E3CF31B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Monitor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 spend on microbiological and nutritional items – ensure within budget </w:t>
            </w: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on a monthly basis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6453FD0" w14:textId="132A0A3F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8106CD">
              <w:rPr>
                <w:rFonts w:ascii="Arial" w:hAnsi="Arial" w:cs="Arial"/>
                <w:sz w:val="20"/>
                <w:szCs w:val="20"/>
              </w:rPr>
              <w:t>30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% of time spent on factory floor – training, </w:t>
            </w:r>
            <w:r w:rsidR="00B76A7B">
              <w:rPr>
                <w:rFonts w:ascii="Arial" w:hAnsi="Arial" w:cs="Arial"/>
                <w:sz w:val="20"/>
                <w:szCs w:val="20"/>
              </w:rPr>
              <w:t>r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esolving issues, challenging the norm. </w:t>
            </w:r>
          </w:p>
          <w:p w14:paraId="49ADCDF4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Complete auditing of raw material suppliers as required. </w:t>
            </w:r>
          </w:p>
          <w:p w14:paraId="2BC2D6BE" w14:textId="5BF9EE52" w:rsidR="0047769A" w:rsidRPr="00AB3D41" w:rsidRDefault="00B76A7B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7769A" w:rsidRPr="00AB3D41">
              <w:rPr>
                <w:rFonts w:ascii="Arial" w:hAnsi="Arial" w:cs="Arial"/>
                <w:sz w:val="20"/>
                <w:szCs w:val="20"/>
              </w:rPr>
              <w:t>nsure QA Department complete checks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69A" w:rsidRPr="00AB3D41">
              <w:rPr>
                <w:rFonts w:ascii="Arial" w:hAnsi="Arial" w:cs="Arial"/>
                <w:sz w:val="20"/>
                <w:szCs w:val="20"/>
              </w:rPr>
              <w:t xml:space="preserve">as per schedules and associated documentation is completed </w:t>
            </w:r>
          </w:p>
          <w:p w14:paraId="2867C6AB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lastRenderedPageBreak/>
              <w:t>Ensure all routine sampling checks and other requirements are completed as per schedules and any out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specification results are highlighted and actioned. </w:t>
            </w:r>
          </w:p>
          <w:p w14:paraId="303D51EF" w14:textId="77D84DF0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Work with the </w:t>
            </w:r>
            <w:r w:rsidR="00B76A7B">
              <w:rPr>
                <w:rFonts w:ascii="Arial" w:hAnsi="Arial" w:cs="Arial"/>
                <w:sz w:val="20"/>
                <w:szCs w:val="20"/>
              </w:rPr>
              <w:t xml:space="preserve">Compliance and Technical Services teams </w:t>
            </w:r>
            <w:r w:rsidRPr="00AB3D41">
              <w:rPr>
                <w:rFonts w:ascii="Arial" w:hAnsi="Arial" w:cs="Arial"/>
                <w:sz w:val="20"/>
                <w:szCs w:val="20"/>
              </w:rPr>
              <w:t>in terms of systems development.</w:t>
            </w:r>
          </w:p>
          <w:p w14:paraId="3B7D0010" w14:textId="045541D0" w:rsidR="0047769A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>Ensuring timely supply of information as requested by both internal and external sources, including such items as – weekly</w:t>
            </w:r>
            <w:r w:rsidR="008106CD">
              <w:rPr>
                <w:rFonts w:ascii="Arial" w:hAnsi="Arial" w:cs="Arial"/>
                <w:sz w:val="20"/>
                <w:szCs w:val="20"/>
              </w:rPr>
              <w:t>/monthly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 KPI data, </w:t>
            </w: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Technical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 information for weekly brief, and completion of microbiological section of retailer’s monthly report. </w:t>
            </w:r>
          </w:p>
          <w:p w14:paraId="572C10D2" w14:textId="71205CDD" w:rsidR="00B76A7B" w:rsidRDefault="008106CD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an a</w:t>
            </w:r>
            <w:r w:rsidR="00B76A7B">
              <w:rPr>
                <w:rFonts w:ascii="Arial" w:hAnsi="Arial" w:cs="Arial"/>
                <w:sz w:val="20"/>
                <w:szCs w:val="20"/>
              </w:rPr>
              <w:t>ctively involve</w:t>
            </w:r>
            <w:r>
              <w:rPr>
                <w:rFonts w:ascii="Arial" w:hAnsi="Arial" w:cs="Arial"/>
                <w:sz w:val="20"/>
                <w:szCs w:val="20"/>
              </w:rPr>
              <w:t>ment</w:t>
            </w:r>
            <w:r w:rsidR="00B76A7B">
              <w:rPr>
                <w:rFonts w:ascii="Arial" w:hAnsi="Arial" w:cs="Arial"/>
                <w:sz w:val="20"/>
                <w:szCs w:val="20"/>
              </w:rPr>
              <w:t xml:space="preserve"> in customer and </w:t>
            </w:r>
            <w:proofErr w:type="gramStart"/>
            <w:r w:rsidR="00B76A7B">
              <w:rPr>
                <w:rFonts w:ascii="Arial" w:hAnsi="Arial" w:cs="Arial"/>
                <w:sz w:val="20"/>
                <w:szCs w:val="20"/>
              </w:rPr>
              <w:t>third party</w:t>
            </w:r>
            <w:proofErr w:type="gramEnd"/>
            <w:r w:rsidR="00B76A7B">
              <w:rPr>
                <w:rFonts w:ascii="Arial" w:hAnsi="Arial" w:cs="Arial"/>
                <w:sz w:val="20"/>
                <w:szCs w:val="20"/>
              </w:rPr>
              <w:t xml:space="preserve"> audit interaction</w:t>
            </w:r>
            <w:r>
              <w:rPr>
                <w:rFonts w:ascii="Arial" w:hAnsi="Arial" w:cs="Arial"/>
                <w:sz w:val="20"/>
                <w:szCs w:val="20"/>
              </w:rPr>
              <w:t>, leading interactions where necessary</w:t>
            </w:r>
            <w:r w:rsidR="00B76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7AD455" w14:textId="530E89C0" w:rsidR="00B76A7B" w:rsidRDefault="00B76A7B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in line with the site’s responsible business goals.</w:t>
            </w:r>
          </w:p>
          <w:p w14:paraId="52112801" w14:textId="48744502" w:rsidR="00B76A7B" w:rsidRPr="00AB3D41" w:rsidRDefault="00B76A7B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Stay abreast of industry developments and best practice.</w:t>
            </w:r>
          </w:p>
          <w:p w14:paraId="3C5088D0" w14:textId="797948A7" w:rsidR="0047769A" w:rsidRPr="0047769A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Deputise for the Technical Manager during their absence. </w:t>
            </w:r>
          </w:p>
        </w:tc>
      </w:tr>
      <w:tr w:rsidR="005A22BF" w:rsidRPr="008B3B59" w14:paraId="0FF004F3" w14:textId="77777777" w:rsidTr="00E82CE0">
        <w:tc>
          <w:tcPr>
            <w:tcW w:w="10207" w:type="dxa"/>
            <w:gridSpan w:val="4"/>
            <w:shd w:val="clear" w:color="auto" w:fill="988445"/>
          </w:tcPr>
          <w:p w14:paraId="474A7ED1" w14:textId="77777777" w:rsidR="005A22BF" w:rsidRPr="008B3B59" w:rsidRDefault="005A22BF" w:rsidP="00E82CE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5A22BF" w:rsidRPr="008B3B59" w14:paraId="2CD761E7" w14:textId="77777777" w:rsidTr="0047769A">
        <w:trPr>
          <w:trHeight w:val="3126"/>
        </w:trPr>
        <w:tc>
          <w:tcPr>
            <w:tcW w:w="10207" w:type="dxa"/>
            <w:gridSpan w:val="4"/>
          </w:tcPr>
          <w:p w14:paraId="28B208BF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Accurate and thorough</w:t>
            </w:r>
          </w:p>
          <w:p w14:paraId="510644FA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Excellent organisational and project management skills </w:t>
            </w:r>
          </w:p>
          <w:p w14:paraId="7891107F" w14:textId="36B97919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Hands on </w:t>
            </w:r>
            <w:r w:rsidR="00B76A7B">
              <w:rPr>
                <w:rFonts w:ascii="Arial" w:hAnsi="Arial" w:cs="Arial"/>
                <w:sz w:val="20"/>
                <w:szCs w:val="20"/>
              </w:rPr>
              <w:t>‘</w:t>
            </w:r>
            <w:r w:rsidRPr="0047769A">
              <w:rPr>
                <w:rFonts w:ascii="Arial" w:hAnsi="Arial" w:cs="Arial"/>
                <w:sz w:val="20"/>
                <w:szCs w:val="20"/>
              </w:rPr>
              <w:t>can do</w:t>
            </w:r>
            <w:r w:rsidR="00B76A7B">
              <w:rPr>
                <w:rFonts w:ascii="Arial" w:hAnsi="Arial" w:cs="Arial"/>
                <w:sz w:val="20"/>
                <w:szCs w:val="20"/>
              </w:rPr>
              <w:t>’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 approach </w:t>
            </w:r>
          </w:p>
          <w:p w14:paraId="7032C4A1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769A">
              <w:rPr>
                <w:rFonts w:ascii="Arial" w:hAnsi="Arial" w:cs="Arial"/>
                <w:sz w:val="20"/>
                <w:szCs w:val="20"/>
              </w:rPr>
              <w:t>Self motivated</w:t>
            </w:r>
            <w:proofErr w:type="spellEnd"/>
          </w:p>
          <w:p w14:paraId="66AE554A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Able to work under pressure</w:t>
            </w:r>
          </w:p>
          <w:p w14:paraId="490ADB03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Strong communication skills </w:t>
            </w:r>
          </w:p>
          <w:p w14:paraId="4080E7D8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Good team player </w:t>
            </w:r>
          </w:p>
          <w:p w14:paraId="2C4B1692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Methodical / logical / planned approach to problem solving </w:t>
            </w:r>
          </w:p>
          <w:p w14:paraId="57ADB55B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Flexible</w:t>
            </w:r>
          </w:p>
          <w:p w14:paraId="3E13477D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Comprehensive computer skills</w:t>
            </w:r>
          </w:p>
          <w:p w14:paraId="04AA61AD" w14:textId="620DE8DE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HACCP team experience </w:t>
            </w:r>
          </w:p>
          <w:p w14:paraId="1771E678" w14:textId="7C1B9F75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5 years </w:t>
            </w:r>
            <w:r w:rsidR="00B76A7B">
              <w:rPr>
                <w:rFonts w:ascii="Arial" w:hAnsi="Arial" w:cs="Arial"/>
                <w:sz w:val="20"/>
                <w:szCs w:val="20"/>
              </w:rPr>
              <w:t>c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hilled high </w:t>
            </w:r>
            <w:r w:rsidR="00B76A7B">
              <w:rPr>
                <w:rFonts w:ascii="Arial" w:hAnsi="Arial" w:cs="Arial"/>
                <w:sz w:val="20"/>
                <w:szCs w:val="20"/>
              </w:rPr>
              <w:t>care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 food experience – 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previous experience in 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ready meals would be useful </w:t>
            </w:r>
          </w:p>
          <w:p w14:paraId="783CB374" w14:textId="394C2683" w:rsidR="005A22BF" w:rsidRDefault="0047769A" w:rsidP="0047769A">
            <w:pPr>
              <w:tabs>
                <w:tab w:val="left" w:pos="295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B76A7B">
              <w:rPr>
                <w:rFonts w:ascii="Arial" w:hAnsi="Arial" w:cs="Arial"/>
                <w:sz w:val="20"/>
                <w:szCs w:val="20"/>
              </w:rPr>
              <w:t>m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anagement skills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149FFE" w14:textId="77777777" w:rsidR="0047769A" w:rsidRDefault="0047769A" w:rsidP="0047769A">
            <w:pPr>
              <w:tabs>
                <w:tab w:val="left" w:pos="295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4A9D27" w14:textId="12666343" w:rsid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B76A7B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elated Degree </w:t>
            </w:r>
            <w:r w:rsidR="00B76A7B">
              <w:rPr>
                <w:rFonts w:ascii="Arial" w:hAnsi="Arial" w:cs="Arial"/>
                <w:sz w:val="20"/>
                <w:szCs w:val="20"/>
              </w:rPr>
              <w:t>or similar</w:t>
            </w:r>
          </w:p>
          <w:p w14:paraId="587BBEC1" w14:textId="3D7D1709" w:rsid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HACCP </w:t>
            </w:r>
            <w:r w:rsidR="00B76A7B">
              <w:rPr>
                <w:rFonts w:ascii="Arial" w:hAnsi="Arial" w:cs="Arial"/>
                <w:sz w:val="20"/>
                <w:szCs w:val="20"/>
              </w:rPr>
              <w:t xml:space="preserve">qualification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to level </w:t>
            </w:r>
            <w:r w:rsidR="00B76A7B">
              <w:rPr>
                <w:rFonts w:ascii="Arial" w:hAnsi="Arial" w:cs="Arial"/>
                <w:sz w:val="20"/>
                <w:szCs w:val="20"/>
              </w:rPr>
              <w:t>3 minimum</w:t>
            </w:r>
          </w:p>
          <w:p w14:paraId="54B89CF2" w14:textId="1DFE45FF" w:rsidR="00B76A7B" w:rsidRDefault="00B76A7B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qualification to level 3 minimum</w:t>
            </w:r>
          </w:p>
          <w:p w14:paraId="044381CE" w14:textId="1E51C6EF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 qualification</w:t>
            </w:r>
          </w:p>
        </w:tc>
      </w:tr>
      <w:tr w:rsidR="005A22BF" w:rsidRPr="008B3B59" w14:paraId="199CF843" w14:textId="77777777" w:rsidTr="00E82CE0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5DD398E2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</w:rPr>
              <w:t>COMPETENCIES</w:t>
            </w:r>
            <w:r>
              <w:rPr>
                <w:rFonts w:ascii="Arial" w:eastAsia="Arial" w:hAnsi="Arial" w:cs="Arial"/>
                <w:color w:val="FFFFFF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</w:rPr>
              <w:t xml:space="preserve"> FOR SUCCESS</w:t>
            </w:r>
          </w:p>
        </w:tc>
      </w:tr>
      <w:tr w:rsidR="005A22BF" w:rsidRPr="008B3B59" w14:paraId="6F6BF9D0" w14:textId="77777777" w:rsidTr="00E82CE0">
        <w:trPr>
          <w:trHeight w:val="360"/>
        </w:trPr>
        <w:tc>
          <w:tcPr>
            <w:tcW w:w="2565" w:type="dxa"/>
          </w:tcPr>
          <w:p w14:paraId="35ECD3DE" w14:textId="77777777" w:rsidR="005A22BF" w:rsidRPr="00312B55" w:rsidRDefault="005A22BF" w:rsidP="00E82CE0">
            <w:pPr>
              <w:rPr>
                <w:rFonts w:ascii="Arial" w:eastAsia="Arial" w:hAnsi="Arial" w:cs="Arial"/>
                <w:b/>
              </w:rPr>
            </w:pPr>
            <w:r w:rsidRPr="00312B55">
              <w:rPr>
                <w:rFonts w:ascii="Arial" w:eastAsia="Arial" w:hAnsi="Arial" w:cs="Arial"/>
                <w:b/>
              </w:rPr>
              <w:t>Competency</w:t>
            </w:r>
          </w:p>
        </w:tc>
        <w:tc>
          <w:tcPr>
            <w:tcW w:w="7642" w:type="dxa"/>
            <w:gridSpan w:val="3"/>
          </w:tcPr>
          <w:p w14:paraId="5988C7F5" w14:textId="77777777" w:rsidR="005A22BF" w:rsidRPr="00312B55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 w:rsidRPr="00312B55">
              <w:rPr>
                <w:rFonts w:ascii="Arial" w:eastAsia="Arial" w:hAnsi="Arial" w:cs="Arial"/>
                <w:b/>
              </w:rPr>
              <w:t>Descriptors</w:t>
            </w:r>
          </w:p>
        </w:tc>
      </w:tr>
      <w:tr w:rsidR="005A22BF" w:rsidRPr="008B3B59" w14:paraId="415457AB" w14:textId="77777777" w:rsidTr="00E82CE0">
        <w:trPr>
          <w:trHeight w:val="671"/>
        </w:trPr>
        <w:tc>
          <w:tcPr>
            <w:tcW w:w="2565" w:type="dxa"/>
          </w:tcPr>
          <w:p w14:paraId="1C5B8B6A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7F0015E1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treated with dignity and respect at all times</w:t>
            </w:r>
            <w:proofErr w:type="gramEnd"/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5A22BF" w:rsidRPr="008B3B59" w14:paraId="416DC0A4" w14:textId="77777777" w:rsidTr="00E82CE0">
        <w:trPr>
          <w:trHeight w:val="671"/>
        </w:trPr>
        <w:tc>
          <w:tcPr>
            <w:tcW w:w="2565" w:type="dxa"/>
          </w:tcPr>
          <w:p w14:paraId="5BB40992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4E006B3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en"/>
              </w:rPr>
            </w:pPr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Demonstrates the understanding that the satisfaction of our internal and external customers is the foundation of our success</w:t>
            </w:r>
          </w:p>
        </w:tc>
      </w:tr>
      <w:tr w:rsidR="005A22BF" w:rsidRPr="008B3B59" w14:paraId="3AF44AF8" w14:textId="77777777" w:rsidTr="00E82CE0">
        <w:trPr>
          <w:trHeight w:val="671"/>
        </w:trPr>
        <w:tc>
          <w:tcPr>
            <w:tcW w:w="2565" w:type="dxa"/>
          </w:tcPr>
          <w:p w14:paraId="2A843596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2D088573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5A22BF" w:rsidRPr="008B3B59" w14:paraId="285911DE" w14:textId="77777777" w:rsidTr="00E82CE0">
        <w:trPr>
          <w:trHeight w:val="671"/>
        </w:trPr>
        <w:tc>
          <w:tcPr>
            <w:tcW w:w="2565" w:type="dxa"/>
          </w:tcPr>
          <w:p w14:paraId="48ECDCCB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41DF2346" w14:textId="77777777" w:rsidR="005A22BF" w:rsidRPr="008106CD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as a result of</w:t>
            </w:r>
            <w:proofErr w:type="gramEnd"/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changing customer needs.</w:t>
            </w:r>
          </w:p>
        </w:tc>
      </w:tr>
      <w:tr w:rsidR="005A22BF" w:rsidRPr="008B3B59" w14:paraId="503E74C1" w14:textId="77777777" w:rsidTr="00E82CE0">
        <w:trPr>
          <w:trHeight w:val="671"/>
        </w:trPr>
        <w:tc>
          <w:tcPr>
            <w:tcW w:w="2565" w:type="dxa"/>
          </w:tcPr>
          <w:p w14:paraId="7C0F3887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6EF88CCD" w14:textId="15C2F0ED" w:rsidR="005A22BF" w:rsidRPr="008106CD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Steps up to take on personal responsibility and accountability for tasks and action</w:t>
            </w:r>
            <w:r w:rsid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</w:t>
            </w:r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5A22BF" w:rsidRPr="008B3B59" w14:paraId="636D3E7D" w14:textId="77777777" w:rsidTr="00E82CE0">
        <w:trPr>
          <w:trHeight w:val="621"/>
        </w:trPr>
        <w:tc>
          <w:tcPr>
            <w:tcW w:w="2565" w:type="dxa"/>
          </w:tcPr>
          <w:p w14:paraId="0711F9B1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57A4AC27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Knows the most effective and efficient processes for getting things done, with a focus on continuous improvement.</w:t>
            </w:r>
          </w:p>
        </w:tc>
      </w:tr>
      <w:tr w:rsidR="005A22BF" w:rsidRPr="008B3B59" w14:paraId="6C7B9E52" w14:textId="77777777" w:rsidTr="00E82CE0">
        <w:trPr>
          <w:trHeight w:val="559"/>
        </w:trPr>
        <w:tc>
          <w:tcPr>
            <w:tcW w:w="2565" w:type="dxa"/>
          </w:tcPr>
          <w:p w14:paraId="710337F2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23862664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Effectively manages resources and cost drivers to achieve sustainable productivity and profitability.</w:t>
            </w:r>
          </w:p>
        </w:tc>
      </w:tr>
      <w:tr w:rsidR="005A22BF" w:rsidRPr="008B3B59" w14:paraId="5F09989F" w14:textId="77777777" w:rsidTr="00E82CE0">
        <w:trPr>
          <w:trHeight w:val="584"/>
        </w:trPr>
        <w:tc>
          <w:tcPr>
            <w:tcW w:w="2565" w:type="dxa"/>
          </w:tcPr>
          <w:p w14:paraId="5D75A161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04BCEE2B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Has the skills, knowledge and experience required to excel in own area of specialism and the willingness to further grow and develop.</w:t>
            </w:r>
          </w:p>
        </w:tc>
      </w:tr>
      <w:tr w:rsidR="005A22BF" w:rsidRPr="008B3B59" w14:paraId="474D7466" w14:textId="77777777" w:rsidTr="00E82CE0">
        <w:trPr>
          <w:trHeight w:val="831"/>
        </w:trPr>
        <w:tc>
          <w:tcPr>
            <w:tcW w:w="2565" w:type="dxa"/>
          </w:tcPr>
          <w:p w14:paraId="0E310406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0974221D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1B6D68F9" w14:textId="77777777" w:rsidR="005A22BF" w:rsidRPr="005A22BF" w:rsidRDefault="005A22BF" w:rsidP="008106CD"/>
    <w:sectPr w:rsidR="005A22BF" w:rsidRPr="005A22BF" w:rsidSect="00CE26AF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AFF5" w14:textId="77777777" w:rsidR="00C63ED2" w:rsidRDefault="00C63ED2" w:rsidP="005A22BF">
      <w:pPr>
        <w:spacing w:after="0" w:line="240" w:lineRule="auto"/>
      </w:pPr>
      <w:r>
        <w:separator/>
      </w:r>
    </w:p>
  </w:endnote>
  <w:endnote w:type="continuationSeparator" w:id="0">
    <w:p w14:paraId="195AB062" w14:textId="77777777" w:rsidR="00C63ED2" w:rsidRDefault="00C63ED2" w:rsidP="005A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F1B5" w14:textId="77777777" w:rsidR="00C63ED2" w:rsidRDefault="00C63ED2" w:rsidP="005A22BF">
      <w:pPr>
        <w:spacing w:after="0" w:line="240" w:lineRule="auto"/>
      </w:pPr>
      <w:r>
        <w:separator/>
      </w:r>
    </w:p>
  </w:footnote>
  <w:footnote w:type="continuationSeparator" w:id="0">
    <w:p w14:paraId="213BE358" w14:textId="77777777" w:rsidR="00C63ED2" w:rsidRDefault="00C63ED2" w:rsidP="005A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093"/>
    <w:multiLevelType w:val="hybridMultilevel"/>
    <w:tmpl w:val="60F0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055E"/>
    <w:multiLevelType w:val="hybridMultilevel"/>
    <w:tmpl w:val="4E9E7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0239E7"/>
    <w:multiLevelType w:val="hybridMultilevel"/>
    <w:tmpl w:val="6E26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C7CD1"/>
    <w:multiLevelType w:val="hybridMultilevel"/>
    <w:tmpl w:val="7E6A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E42D7"/>
    <w:multiLevelType w:val="hybridMultilevel"/>
    <w:tmpl w:val="08E4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40703">
    <w:abstractNumId w:val="3"/>
  </w:num>
  <w:num w:numId="2" w16cid:durableId="1159494396">
    <w:abstractNumId w:val="4"/>
  </w:num>
  <w:num w:numId="3" w16cid:durableId="429349947">
    <w:abstractNumId w:val="0"/>
  </w:num>
  <w:num w:numId="4" w16cid:durableId="353000761">
    <w:abstractNumId w:val="2"/>
  </w:num>
  <w:num w:numId="5" w16cid:durableId="94214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BF"/>
    <w:rsid w:val="000025F1"/>
    <w:rsid w:val="00007ACF"/>
    <w:rsid w:val="00096F62"/>
    <w:rsid w:val="0019533E"/>
    <w:rsid w:val="002273A5"/>
    <w:rsid w:val="003B5B93"/>
    <w:rsid w:val="004751E2"/>
    <w:rsid w:val="0047769A"/>
    <w:rsid w:val="004C1D65"/>
    <w:rsid w:val="005A22BF"/>
    <w:rsid w:val="005C250E"/>
    <w:rsid w:val="007E1548"/>
    <w:rsid w:val="008106CD"/>
    <w:rsid w:val="008B22FE"/>
    <w:rsid w:val="009B0339"/>
    <w:rsid w:val="00B36A6A"/>
    <w:rsid w:val="00B41571"/>
    <w:rsid w:val="00B76A7B"/>
    <w:rsid w:val="00C63ED2"/>
    <w:rsid w:val="00CB08CF"/>
    <w:rsid w:val="00CC24DA"/>
    <w:rsid w:val="00CE26AF"/>
    <w:rsid w:val="00DF4A99"/>
    <w:rsid w:val="00E11F1D"/>
    <w:rsid w:val="00E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C1199"/>
  <w15:chartTrackingRefBased/>
  <w15:docId w15:val="{02CC7A94-859F-478B-8B9F-5AE3072C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5A22BF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BF"/>
  </w:style>
  <w:style w:type="paragraph" w:styleId="Footer">
    <w:name w:val="footer"/>
    <w:basedOn w:val="Normal"/>
    <w:link w:val="Foot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BF"/>
  </w:style>
  <w:style w:type="character" w:customStyle="1" w:styleId="Heading2Char">
    <w:name w:val="Heading 2 Char"/>
    <w:basedOn w:val="DefaultParagraphFont"/>
    <w:link w:val="Heading2"/>
    <w:rsid w:val="005A22BF"/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22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Chauhan (RM)</dc:creator>
  <cp:keywords/>
  <dc:description/>
  <cp:lastModifiedBy>Sophie Smith</cp:lastModifiedBy>
  <cp:revision>2</cp:revision>
  <dcterms:created xsi:type="dcterms:W3CDTF">2026-05-27T07:51:00Z</dcterms:created>
  <dcterms:modified xsi:type="dcterms:W3CDTF">2026-05-27T07:51:00Z</dcterms:modified>
</cp:coreProperties>
</file>